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before="0" w:after="0"/>
        <w:ind w:left="0" w:right="0" w:hanging="0"/>
        <w:rPr>
          <w:rFonts w:ascii="Arial" w:hAnsi="Arial"/>
          <w:b/>
          <w:b/>
          <w:bCs/>
          <w:sz w:val="48"/>
          <w:szCs w:val="48"/>
          <w:lang w:val="en-US"/>
        </w:rPr>
      </w:pPr>
      <w:r>
        <w:rPr>
          <w:b/>
          <w:bCs/>
          <w:sz w:val="48"/>
          <w:szCs w:val="48"/>
          <w:lang w:val="en-US"/>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before="0" w:after="0"/>
        <w:ind w:left="0" w:right="0" w:hanging="0"/>
        <w:rPr>
          <w:rFonts w:ascii="Arial" w:hAnsi="Arial"/>
          <w:b/>
          <w:b/>
          <w:bCs/>
          <w:sz w:val="48"/>
          <w:szCs w:val="48"/>
          <w:lang w:val="en-US"/>
        </w:rPr>
      </w:pPr>
      <w:r>
        <w:rPr>
          <w:b/>
          <w:bCs/>
          <w:sz w:val="48"/>
          <w:szCs w:val="48"/>
          <w:lang w:val="en-US"/>
        </w:rPr>
        <w:t>Press Release</w:t>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pPr>
      <w:r>
        <w:rPr>
          <w:b/>
          <w:bCs/>
          <w:sz w:val="28"/>
          <w:szCs w:val="28"/>
          <w:lang w:val="en-US"/>
        </w:rPr>
        <w:t>PicoQuant releases update for EasyTau 2</w:t>
      </w:r>
    </w:p>
    <w:p>
      <w:pPr>
        <w:pStyle w:val="Normal"/>
        <w:spacing w:lineRule="auto" w:line="300" w:before="0" w:after="0"/>
        <w:ind w:left="0" w:right="0" w:hanging="0"/>
        <w:rPr>
          <w:rFonts w:ascii="Arial" w:hAnsi="Arial"/>
          <w:b/>
          <w:b/>
          <w:bCs/>
          <w:sz w:val="22"/>
          <w:szCs w:val="22"/>
          <w:lang w:val="en-US"/>
        </w:rPr>
      </w:pPr>
      <w:r>
        <w:rPr>
          <w:b/>
          <w:bCs/>
          <w:sz w:val="22"/>
          <w:szCs w:val="22"/>
          <w:lang w:val="en-US"/>
        </w:rPr>
      </w:r>
    </w:p>
    <w:p>
      <w:pPr>
        <w:pStyle w:val="Normal"/>
        <w:spacing w:lineRule="auto" w:line="300" w:before="0" w:after="0"/>
        <w:ind w:left="0" w:right="0" w:hanging="0"/>
        <w:rPr/>
      </w:pPr>
      <w:r>
        <w:rPr>
          <w:b/>
          <w:bCs/>
          <w:sz w:val="22"/>
          <w:szCs w:val="22"/>
          <w:lang w:val="en-US"/>
        </w:rPr>
        <w:t>The version 2.1 update for the system control and analysis package includes some exciting new features</w:t>
      </w:r>
    </w:p>
    <w:p>
      <w:pPr>
        <w:pStyle w:val="Normal"/>
        <w:spacing w:lineRule="auto" w:line="300" w:before="0" w:after="0"/>
        <w:ind w:left="0" w:right="0" w:hanging="0"/>
        <w:rPr>
          <w:rFonts w:ascii="Arial" w:hAnsi="Arial"/>
          <w:b/>
          <w:b/>
          <w:bCs/>
          <w:sz w:val="22"/>
          <w:szCs w:val="22"/>
          <w:lang w:val="en-US"/>
        </w:rPr>
      </w:pPr>
      <w:r>
        <w:rPr>
          <w:b/>
          <w:bCs/>
          <w:sz w:val="22"/>
          <w:szCs w:val="22"/>
          <w:lang w:val="en-US"/>
        </w:rPr>
      </w:r>
    </w:p>
    <w:p>
      <w:pPr>
        <w:pStyle w:val="Normal"/>
        <w:spacing w:lineRule="auto" w:line="300" w:before="0" w:after="0"/>
        <w:ind w:left="0" w:right="0" w:hanging="0"/>
        <w:rPr>
          <w:rFonts w:ascii="Arial" w:hAnsi="Arial"/>
          <w:b/>
          <w:b/>
          <w:bCs/>
          <w:sz w:val="22"/>
          <w:szCs w:val="22"/>
          <w:lang w:val="en-US"/>
        </w:rPr>
      </w:pPr>
      <w:r>
        <w:rPr>
          <w:b/>
          <w:bCs/>
          <w:sz w:val="22"/>
          <w:szCs w:val="22"/>
          <w:lang w:val="en-US"/>
        </w:rPr>
      </w:r>
    </w:p>
    <w:p>
      <w:pPr>
        <w:pStyle w:val="Normal"/>
        <w:spacing w:lineRule="auto" w:line="300" w:before="0" w:after="113"/>
        <w:ind w:left="0" w:right="0" w:hanging="0"/>
        <w:rPr/>
      </w:pPr>
      <w:r>
        <w:rPr>
          <w:b/>
          <w:bCs/>
          <w:sz w:val="22"/>
          <w:szCs w:val="22"/>
          <w:lang w:val="en-US"/>
        </w:rPr>
        <w:t xml:space="preserve">Berlin (Germany), </w:t>
      </w:r>
      <w:r>
        <w:rPr>
          <w:b/>
          <w:bCs/>
          <w:sz w:val="22"/>
          <w:szCs w:val="22"/>
          <w:lang w:val="en-US"/>
        </w:rPr>
        <w:t>27</w:t>
      </w:r>
      <w:r>
        <w:rPr>
          <w:b/>
          <w:bCs/>
          <w:color w:val="000000"/>
          <w:sz w:val="22"/>
          <w:szCs w:val="22"/>
          <w:lang w:val="en-US"/>
        </w:rPr>
        <w:t xml:space="preserve"> </w:t>
      </w:r>
      <w:r>
        <w:rPr>
          <w:b/>
          <w:bCs/>
          <w:color w:val="000000"/>
          <w:sz w:val="22"/>
          <w:szCs w:val="22"/>
          <w:lang w:val="en-US"/>
        </w:rPr>
        <w:t>June</w:t>
      </w:r>
      <w:r>
        <w:rPr>
          <w:b/>
          <w:bCs/>
          <w:color w:val="000000"/>
          <w:sz w:val="22"/>
          <w:szCs w:val="22"/>
          <w:lang w:val="en-US"/>
        </w:rPr>
        <w:t xml:space="preserve"> 2019</w:t>
      </w:r>
      <w:r>
        <w:rPr>
          <w:b/>
          <w:bCs/>
          <w:sz w:val="22"/>
          <w:szCs w:val="22"/>
          <w:lang w:val="en-US"/>
        </w:rPr>
        <w:t xml:space="preserve"> </w:t>
      </w:r>
      <w:r>
        <w:rPr>
          <w:b w:val="false"/>
          <w:bCs w:val="false"/>
          <w:sz w:val="22"/>
          <w:szCs w:val="22"/>
          <w:lang w:val="en-US"/>
        </w:rPr>
        <w:t xml:space="preserve">– </w:t>
      </w:r>
      <w:bookmarkStart w:id="0" w:name="__DdeLink__32_437777065"/>
      <w:r>
        <w:rPr>
          <w:b w:val="false"/>
          <w:bCs w:val="false"/>
          <w:sz w:val="22"/>
          <w:szCs w:val="22"/>
          <w:lang w:val="en-US"/>
        </w:rPr>
        <w:t>The EasyTau 2 software package is the one-stop solution for both full hardware control of time-resolved luminescence spectrometers from the FluoTime Series as well as for interactive data analysis and fitting. The main feature of the 2.1 EasyTau update is the introduction of time-resolved scans for TRES-like experiments in customized mode.</w:t>
      </w:r>
    </w:p>
    <w:p>
      <w:pPr>
        <w:pStyle w:val="Normal"/>
        <w:spacing w:lineRule="auto" w:line="300" w:before="0" w:after="113"/>
        <w:ind w:left="0" w:right="0" w:hanging="0"/>
        <w:rPr/>
      </w:pPr>
      <w:r>
        <w:rPr>
          <w:b w:val="false"/>
          <w:bCs w:val="false"/>
          <w:sz w:val="22"/>
          <w:szCs w:val="22"/>
          <w:lang w:val="en-US"/>
        </w:rPr>
        <w:t xml:space="preserve">The update </w:t>
      </w:r>
      <w:r>
        <w:rPr>
          <w:sz w:val="22"/>
          <w:szCs w:val="22"/>
          <w:lang w:val="en-US"/>
        </w:rPr>
        <w:t>also adds new scripting functions allowing for user input or switching the light source, detector or Time Correlated Single Photon Counting (TCSPC) unit. Version 2.1 and offers some quality of life changes such as starting the measurement of an instrument response function via a separate button, as well as improvements for ASCII export and HTML / PDF reporting functions.</w:t>
      </w:r>
    </w:p>
    <w:p>
      <w:pPr>
        <w:pStyle w:val="Normal"/>
        <w:suppressAutoHyphens w:val="false"/>
        <w:spacing w:lineRule="auto" w:line="300" w:before="0" w:after="0"/>
        <w:ind w:left="0" w:right="0" w:hanging="0"/>
        <w:jc w:val="left"/>
        <w:rPr/>
      </w:pPr>
      <w:r>
        <w:rPr>
          <w:sz w:val="22"/>
          <w:szCs w:val="22"/>
          <w:lang w:val="en-US"/>
        </w:rPr>
        <w:t>EasyTau 2 offers dedicated applications wizards guiding users through the optimization and data acquisition process for many common applications. Advanced users get full control over all instrumental aspects thanks to a customized mode and scripting language. The integrated analysis and fitting module supports a broad range of time-resolved spectroscopy applications, such as fluorescence and phosphorescence decays, or anisotropy measurements. A powerful report generator allows creating presentation-ready graphical and numerical output.</w:t>
      </w:r>
      <w:bookmarkEnd w:id="0"/>
    </w:p>
    <w:p>
      <w:pPr>
        <w:pStyle w:val="Normal"/>
        <w:suppressAutoHyphens w:val="false"/>
        <w:spacing w:lineRule="auto" w:line="300" w:before="0" w:after="0"/>
        <w:ind w:left="0" w:right="0" w:hanging="0"/>
        <w:jc w:val="left"/>
        <w:rPr>
          <w:rFonts w:ascii="Arial" w:hAnsi="Arial"/>
          <w:b/>
          <w:b/>
          <w:bCs/>
          <w:sz w:val="22"/>
          <w:szCs w:val="22"/>
          <w:lang w:val="en-US"/>
        </w:rPr>
      </w:pPr>
      <w:r>
        <w:rPr>
          <w:b/>
          <w:bCs/>
          <w:sz w:val="22"/>
          <w:szCs w:val="22"/>
          <w:lang w:val="en-US"/>
        </w:rPr>
      </w:r>
    </w:p>
    <w:p>
      <w:pPr>
        <w:pStyle w:val="Normal"/>
        <w:suppressAutoHyphens w:val="false"/>
        <w:spacing w:lineRule="auto" w:line="300" w:before="0" w:after="0"/>
        <w:ind w:left="0" w:right="0" w:hanging="0"/>
        <w:jc w:val="left"/>
        <w:rPr>
          <w:rFonts w:ascii="Arial" w:hAnsi="Arial"/>
          <w:b/>
          <w:b/>
          <w:bCs/>
          <w:sz w:val="28"/>
          <w:szCs w:val="28"/>
          <w:lang w:val="en-US"/>
        </w:rPr>
      </w:pPr>
      <w:r>
        <w:rPr>
          <w:b/>
          <w:bCs/>
          <w:sz w:val="28"/>
          <w:szCs w:val="28"/>
          <w:lang w:val="en-US"/>
        </w:rPr>
      </w:r>
    </w:p>
    <w:p>
      <w:pPr>
        <w:pStyle w:val="Normal"/>
        <w:suppressAutoHyphens w:val="false"/>
        <w:spacing w:lineRule="auto" w:line="300" w:before="0" w:after="0"/>
        <w:ind w:left="0" w:right="0" w:hanging="0"/>
        <w:jc w:val="left"/>
        <w:rPr>
          <w:rFonts w:ascii="Arial" w:hAnsi="Arial"/>
          <w:sz w:val="22"/>
          <w:szCs w:val="22"/>
          <w:lang w:val="en-US"/>
        </w:rPr>
      </w:pPr>
      <w:r>
        <w:rPr>
          <w:b/>
          <w:bCs/>
          <w:sz w:val="28"/>
          <w:szCs w:val="28"/>
          <w:lang w:val="en-US"/>
        </w:rPr>
        <w:t>About PicoQuant</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PicoQuant is a leading research and development company specializing in optoelectronics, which was founded in 1996. The company, based in the science and technology park of Berlin-Adlershof, Germany, is a worldwide leader in the field of single photon counting applications. The product portfolio encompasses picosecond pulsed diode lasers and LEDs, photon counting instrumentation, fluorescence lifetime spectrometers, FLIM and FCS upgrade kits for laser scanning microscopes as well as time-resolved confocal and super-resolution microscopes. Since April 2008 Sales and Support in North America is handled by PicoQuant Photonics North America Inc. The PicoQuant group employs currently around 80 people.</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b/>
          <w:bCs/>
          <w:sz w:val="28"/>
          <w:szCs w:val="28"/>
          <w:lang w:val="en-US"/>
        </w:rPr>
      </w:pPr>
      <w:r>
        <w:drawing>
          <wp:anchor behindDoc="0" distT="0" distB="0" distL="0" distR="0" simplePos="0" locked="0" layoutInCell="1" allowOverlap="1" relativeHeight="3">
            <wp:simplePos x="0" y="0"/>
            <wp:positionH relativeFrom="page">
              <wp:posOffset>5518150</wp:posOffset>
            </wp:positionH>
            <wp:positionV relativeFrom="page">
              <wp:posOffset>642620</wp:posOffset>
            </wp:positionV>
            <wp:extent cx="1167130" cy="110934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167130" cy="1109345"/>
                    </a:xfrm>
                    <a:prstGeom prst="rect">
                      <a:avLst/>
                    </a:prstGeom>
                  </pic:spPr>
                </pic:pic>
              </a:graphicData>
            </a:graphic>
          </wp:anchor>
        </w:drawing>
      </w:r>
      <w:r>
        <w:rPr>
          <w:b/>
          <w:bCs/>
          <w:sz w:val="28"/>
          <w:szCs w:val="28"/>
          <w:lang w:val="en-US"/>
        </w:rPr>
        <w:t>A</w:t>
      </w:r>
      <w:r>
        <w:rPr>
          <w:b/>
          <w:bCs/>
          <w:sz w:val="28"/>
          <w:szCs w:val="28"/>
          <w:lang w:val="en-US"/>
        </w:rPr>
        <w:t>ttachment</w:t>
      </w:r>
    </w:p>
    <w:p>
      <w:pPr>
        <w:pStyle w:val="Normal"/>
        <w:spacing w:before="0" w:after="0"/>
        <w:ind w:left="0" w:right="0" w:hanging="0"/>
        <w:rPr>
          <w:rFonts w:ascii="Arial" w:hAnsi="Arial"/>
          <w:b w:val="false"/>
          <w:b w:val="false"/>
          <w:bCs w:val="false"/>
          <w:sz w:val="22"/>
          <w:szCs w:val="22"/>
          <w:lang w:val="en-US"/>
        </w:rPr>
      </w:pPr>
      <w:r>
        <w:rP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5831840" cy="3987165"/>
            <wp:effectExtent l="0" t="0" r="0" b="0"/>
            <wp:wrapSquare wrapText="largest"/>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5831840" cy="3987165"/>
                    </a:xfrm>
                    <a:prstGeom prst="rect">
                      <a:avLst/>
                    </a:prstGeom>
                  </pic:spPr>
                </pic:pic>
              </a:graphicData>
            </a:graphic>
          </wp:anchor>
        </w:drawing>
      </w:r>
    </w:p>
    <w:p>
      <w:pPr>
        <w:pStyle w:val="Normal"/>
        <w:spacing w:before="0" w:after="0"/>
        <w:ind w:left="0" w:right="0" w:hanging="0"/>
        <w:rPr/>
      </w:pPr>
      <w:r>
        <w:rPr>
          <w:b w:val="false"/>
          <w:bCs w:val="false"/>
          <w:sz w:val="22"/>
          <w:szCs w:val="22"/>
          <w:lang w:val="en-US"/>
        </w:rPr>
        <w:t>Screen shot of the EasyTau 2 software package. The recently released version 2.1 includes some new exciting features.</w:t>
      </w:r>
    </w:p>
    <w:p>
      <w:pPr>
        <w:pStyle w:val="Normal"/>
        <w:spacing w:before="0" w:after="0"/>
        <w:ind w:left="0" w:right="0" w:hanging="0"/>
        <w:rPr>
          <w:b w:val="false"/>
          <w:b w:val="false"/>
          <w:bCs w:val="false"/>
          <w:sz w:val="22"/>
          <w:szCs w:val="22"/>
          <w:lang w:val="en-US"/>
        </w:rPr>
      </w:pPr>
      <w:r>
        <w:rPr/>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b/>
          <w:bCs/>
          <w:sz w:val="28"/>
          <w:szCs w:val="28"/>
          <w:lang w:val="en-US"/>
        </w:rPr>
      </w:pPr>
      <w:r>
        <w:rPr>
          <w:b/>
          <w:bCs/>
          <w:sz w:val="28"/>
          <w:szCs w:val="28"/>
          <w:lang w:val="en-US"/>
        </w:rPr>
        <w:t>Contact</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Nicole Saritas</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Marketing Communications</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Tel.: +49-30-1208820-607</w:t>
      </w:r>
    </w:p>
    <w:p>
      <w:pPr>
        <w:pStyle w:val="Normal"/>
        <w:spacing w:before="0" w:after="0"/>
        <w:ind w:left="0" w:right="0" w:hanging="0"/>
        <w:rPr/>
      </w:pPr>
      <w:hyperlink r:id="rId5">
        <w:r>
          <w:rPr>
            <w:rStyle w:val="Internetverknpfung"/>
            <w:sz w:val="22"/>
            <w:szCs w:val="22"/>
            <w:lang w:val="en-US"/>
          </w:rPr>
          <w:t>mkt@picoquant.com</w:t>
        </w:r>
      </w:hyperlink>
    </w:p>
    <w:p>
      <w:pPr>
        <w:pStyle w:val="Normal"/>
        <w:spacing w:before="0" w:after="0"/>
        <w:ind w:left="0" w:right="0" w:hanging="0"/>
        <w:rPr/>
      </w:pPr>
      <w:r>
        <w:rPr>
          <w:sz w:val="22"/>
          <w:szCs w:val="22"/>
          <w:lang w:val="en-US"/>
        </w:rPr>
        <w:t>www.picoquant.com</w:t>
      </w:r>
    </w:p>
    <w:sectPr>
      <w:type w:val="nextPage"/>
      <w:pgSz w:w="11906" w:h="16838"/>
      <w:pgMar w:left="1361" w:right="1361" w:header="0" w:top="1600" w:footer="0" w:bottom="1417"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1"/>
    <w:family w:val="swiss"/>
    <w:pitch w:val="default"/>
  </w:font>
</w:fonts>
</file>

<file path=word/settings.xml><?xml version="1.0" encoding="utf-8"?>
<w:settings xmlns:w="http://schemas.openxmlformats.org/wordprocessingml/2006/main">
  <w:zoom w:percent="11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kern w:val="2"/>
        <w:sz w:val="20"/>
        <w:szCs w:val="24"/>
        <w:lang w:val="en-US" w:eastAsia="zh-CN" w:bidi="hi-IN"/>
      </w:rPr>
    </w:rPrDefault>
    <w:pPrDefault>
      <w:pPr/>
    </w:pPrDefault>
  </w:docDefaults>
  <w:style w:type="paragraph" w:styleId="Normal">
    <w:name w:val="Normal"/>
    <w:qFormat/>
    <w:pPr>
      <w:widowControl w:val="false"/>
      <w:overflowPunct w:val="true"/>
      <w:bidi w:val="0"/>
      <w:jc w:val="left"/>
    </w:pPr>
    <w:rPr>
      <w:rFonts w:ascii="Arial" w:hAnsi="Arial" w:eastAsia="Lucida Sans Unicode" w:cs="Tahoma"/>
      <w:color w:val="auto"/>
      <w:kern w:val="2"/>
      <w:sz w:val="24"/>
      <w:szCs w:val="24"/>
      <w:lang w:val="en-US" w:eastAsia="zh-CN" w:bidi="hi-IN"/>
    </w:rPr>
  </w:style>
  <w:style w:type="character" w:styleId="Internetverknpfung">
    <w:name w:val="Internetverknüpfung"/>
    <w:rPr>
      <w:color w:val="000080"/>
      <w:u w:val="single"/>
      <w:lang w:val="zxx" w:eastAsia="zxx" w:bidi="zxx"/>
    </w:rPr>
  </w:style>
  <w:style w:type="character" w:styleId="ListLabel1">
    <w:name w:val="ListLabel 1"/>
    <w:qFormat/>
    <w:rPr>
      <w:rFonts w:ascii="Arial" w:hAnsi="Arial"/>
      <w:sz w:val="22"/>
      <w:szCs w:val="22"/>
      <w:lang w:val="en-US"/>
    </w:rPr>
  </w:style>
  <w:style w:type="character" w:styleId="ListLabel2">
    <w:name w:val="ListLabel 2"/>
    <w:qFormat/>
    <w:rPr>
      <w:sz w:val="22"/>
      <w:szCs w:val="22"/>
      <w:lang w:val="en-US"/>
    </w:rPr>
  </w:style>
  <w:style w:type="character" w:styleId="ListLabel3">
    <w:name w:val="ListLabel 3"/>
    <w:qFormat/>
    <w:rPr>
      <w:sz w:val="22"/>
      <w:szCs w:val="22"/>
      <w:lang w:val="en-US"/>
    </w:rPr>
  </w:style>
  <w:style w:type="character" w:styleId="ListLabel4">
    <w:name w:val="ListLabel 4"/>
    <w:qFormat/>
    <w:rPr>
      <w:sz w:val="22"/>
      <w:szCs w:val="22"/>
      <w:lang w:val="en-US"/>
    </w:rPr>
  </w:style>
  <w:style w:type="paragraph" w:styleId="Berschrift">
    <w:name w:val="Überschrift"/>
    <w:basedOn w:val="Normal"/>
    <w:next w:val="Textkrper"/>
    <w:qFormat/>
    <w:pPr>
      <w:keepNext w:val="true"/>
      <w:spacing w:before="240" w:after="120"/>
    </w:pPr>
    <w:rPr>
      <w:rFonts w:ascii="Arial" w:hAnsi="Arial" w:eastAsia="Lucida Sans Unicode" w:cs="Tahoma"/>
      <w:sz w:val="28"/>
      <w:szCs w:val="28"/>
    </w:rPr>
  </w:style>
  <w:style w:type="paragraph" w:styleId="Textkrper">
    <w:name w:val="Body Text"/>
    <w:basedOn w:val="Normal"/>
    <w:pPr>
      <w:spacing w:before="0" w:after="120"/>
    </w:pPr>
    <w:rPr/>
  </w:style>
  <w:style w:type="paragraph" w:styleId="Liste">
    <w:name w:val="List"/>
    <w:basedOn w:val="Textkrper"/>
    <w:pPr/>
    <w:rPr>
      <w:rFonts w:ascii="Arial" w:hAnsi="Arial" w:cs="Tahoma"/>
    </w:rPr>
  </w:style>
  <w:style w:type="paragraph" w:styleId="Beschriftung">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Kopfzeile">
    <w:name w:val="Header"/>
    <w:basedOn w:val="Normal"/>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819" w:leader="none"/>
        <w:tab w:val="right" w:pos="9638" w:leader="none"/>
      </w:tabs>
    </w:pPr>
    <w:rPr/>
  </w:style>
  <w:style w:type="paragraph" w:styleId="Tabelleninhalt">
    <w:name w:val="Tabelleninhalt"/>
    <w:basedOn w:val="Textkrper"/>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hyperlink" Target="mailto:mkt@picoquant.com" TargetMode="Externa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51</TotalTime>
  <Application>LibreOffice/6.1.5.2$Windows_x86 LibreOffice_project/90f8dcf33c87b3705e78202e3df5142b201bd805</Application>
  <Pages>2</Pages>
  <Words>339</Words>
  <Characters>2079</Characters>
  <CharactersWithSpaces>2403</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2019-05-21T10:21:10Z</dcterms:created>
  <dc:creator>André Devaux</dc:creator>
  <dc:description/>
  <dc:language>de-DE</dc:language>
  <cp:lastModifiedBy>André Devaux</cp:lastModifiedBy>
  <dcterms:modified xsi:type="dcterms:W3CDTF">2019-06-27T13:41:43Z</dcterms:modified>
  <cp:revision>10</cp:revision>
  <dc:subject/>
  <dc:title/>
</cp:coreProperties>
</file>