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4.jpeg" ContentType="image/jpe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rPr>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rPr>
          <w:b/>
          <w:b/>
          <w:bCs/>
          <w:sz w:val="48"/>
          <w:szCs w:val="48"/>
        </w:rPr>
      </w:pPr>
      <w:r>
        <w:rPr>
          <w:b/>
          <w:bCs/>
          <w:sz w:val="48"/>
          <w:szCs w:val="48"/>
        </w:rPr>
        <w:t>Press Release</w:t>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t>PicoQuant welcomes Scientifica to the LSM Upgrade Kit Fami</w:t>
      </w:r>
      <w:bookmarkStart w:id="0" w:name="_GoBack"/>
      <w:bookmarkEnd w:id="0"/>
      <w:r>
        <w:rPr>
          <w:b/>
          <w:bCs/>
          <w:sz w:val="28"/>
          <w:szCs w:val="28"/>
        </w:rPr>
        <w:t>ly</w:t>
      </w:r>
    </w:p>
    <w:p>
      <w:pPr>
        <w:pStyle w:val="Normal"/>
        <w:spacing w:lineRule="auto" w:line="300"/>
        <w:rPr>
          <w:b/>
          <w:b/>
          <w:bCs/>
          <w:sz w:val="22"/>
          <w:szCs w:val="22"/>
        </w:rPr>
      </w:pPr>
      <w:r>
        <w:rPr>
          <w:b/>
          <w:bCs/>
          <w:sz w:val="22"/>
          <w:szCs w:val="22"/>
        </w:rPr>
      </w:r>
    </w:p>
    <w:p>
      <w:pPr>
        <w:pStyle w:val="Normal"/>
        <w:spacing w:lineRule="auto" w:line="300"/>
        <w:rPr>
          <w:b/>
          <w:b/>
          <w:bCs/>
          <w:sz w:val="22"/>
          <w:szCs w:val="22"/>
        </w:rPr>
      </w:pPr>
      <w:r>
        <w:rPr>
          <w:b/>
          <w:bCs/>
          <w:sz w:val="22"/>
          <w:szCs w:val="22"/>
        </w:rPr>
        <w:t xml:space="preserve">The Upgrade Kit from PicoQuant expands the capabilities of Scientifica’s multiphoton imaging microscopes with fluorescence lifetime imaging </w:t>
      </w:r>
    </w:p>
    <w:p>
      <w:pPr>
        <w:pStyle w:val="Normal"/>
        <w:spacing w:lineRule="auto" w:line="300"/>
        <w:rPr>
          <w:b/>
          <w:b/>
          <w:bCs/>
          <w:sz w:val="22"/>
          <w:szCs w:val="22"/>
        </w:rPr>
      </w:pPr>
      <w:r>
        <w:rPr>
          <w:b/>
          <w:bCs/>
          <w:sz w:val="22"/>
          <w:szCs w:val="22"/>
        </w:rPr>
      </w:r>
    </w:p>
    <w:p>
      <w:pPr>
        <w:pStyle w:val="Normal"/>
        <w:spacing w:lineRule="auto" w:line="300"/>
        <w:rPr>
          <w:b/>
          <w:b/>
          <w:bCs/>
          <w:sz w:val="22"/>
          <w:szCs w:val="22"/>
        </w:rPr>
      </w:pPr>
      <w:r>
        <w:rPr>
          <w:b/>
          <w:bCs/>
          <w:sz w:val="22"/>
          <w:szCs w:val="22"/>
        </w:rPr>
      </w:r>
    </w:p>
    <w:p>
      <w:pPr>
        <w:pStyle w:val="Normal"/>
        <w:suppressAutoHyphens w:val="true"/>
        <w:spacing w:lineRule="auto" w:line="300" w:before="0" w:after="113"/>
        <w:rPr/>
      </w:pPr>
      <w:r>
        <w:rPr>
          <w:b/>
          <w:bCs/>
          <w:sz w:val="22"/>
          <w:szCs w:val="22"/>
        </w:rPr>
        <w:t>Berlin (Germany), 25</w:t>
      </w:r>
      <w:r>
        <w:rPr>
          <w:b/>
          <w:bCs/>
          <w:color w:val="000000"/>
          <w:sz w:val="22"/>
          <w:szCs w:val="22"/>
        </w:rPr>
        <w:t xml:space="preserve"> April 2019</w:t>
      </w:r>
      <w:r>
        <w:rPr>
          <w:b/>
          <w:bCs/>
          <w:sz w:val="22"/>
          <w:szCs w:val="22"/>
        </w:rPr>
        <w:t xml:space="preserve"> </w:t>
      </w:r>
      <w:r>
        <w:rPr>
          <w:sz w:val="22"/>
          <w:szCs w:val="22"/>
        </w:rPr>
        <w:t>– PicoQuant warmly welcomes Scientifica to its family of Laser Scanning Microscope (LSM) Upgrade Kits. This new Upgrade Kit is an integrated and flexible Fluorescence Lifetime Imaging (FLIM) solution for both HyperScope and VivoScope multiphoton microscopes from Scientifica, enabling users to simultaneously acquire fluorescence intensity and lifetime images in up to two color channels. This combination of imaging techniques allows acquiring highly quantitative information regarding molecular interactions, quantifying biosensor measurements, or determination of absolute ion concentrations, for example.</w:t>
      </w:r>
    </w:p>
    <w:p>
      <w:pPr>
        <w:pStyle w:val="Normal"/>
        <w:suppressAutoHyphens w:val="true"/>
        <w:spacing w:lineRule="auto" w:line="300" w:before="0" w:after="113"/>
        <w:rPr>
          <w:sz w:val="22"/>
          <w:szCs w:val="22"/>
        </w:rPr>
      </w:pPr>
      <w:r>
        <w:rPr>
          <w:sz w:val="22"/>
          <w:szCs w:val="22"/>
        </w:rPr>
        <w:t>In many research areas LSMs are now a widely use and versatile tool for investigating what happens where in materials, cells, or tissues. By expanding an LSM with one of PicoQuant’s Upgrade Kits, the user gains access to a new dimension of information: the time domain. This additional data source enables many exciting applications such as the easy quantification of Förster resonance energy transfer experiments or studying environmental parameters.</w:t>
      </w:r>
    </w:p>
    <w:p>
      <w:pPr>
        <w:pStyle w:val="Normal"/>
        <w:suppressAutoHyphens w:val="true"/>
        <w:spacing w:lineRule="auto" w:line="300" w:before="0" w:after="113"/>
        <w:rPr>
          <w:sz w:val="22"/>
          <w:szCs w:val="22"/>
        </w:rPr>
      </w:pPr>
      <w:r>
        <w:rPr>
          <w:sz w:val="22"/>
          <w:szCs w:val="22"/>
        </w:rPr>
        <w:t>The Scientifica FLIM Upgrade Kit works with all Scientifica multiphoton scan heads and supports galvo as well as resonance imaging. Thus, any existing or new HyperScope and VivoScope system can be upgraded to support FLIM. The Upgrade Kit fully supports PicoQuant’s rapidFLIM approach with peak photon rates up to 1.5 Gcounts per second, enabling the acquisition of FLIM images at up to several frames per second. Acquired FLIM data can be analyzed with the dedicated and proven SymPhoTime 64 software package from PicoQuant.</w:t>
      </w:r>
    </w:p>
    <w:p>
      <w:pPr>
        <w:pStyle w:val="Normal"/>
        <w:suppressAutoHyphens w:val="true"/>
        <w:spacing w:lineRule="auto" w:line="300" w:before="0" w:after="113"/>
        <w:rPr>
          <w:sz w:val="22"/>
          <w:szCs w:val="22"/>
        </w:rPr>
      </w:pPr>
      <w:r>
        <w:rPr>
          <w:sz w:val="22"/>
          <w:szCs w:val="22"/>
        </w:rPr>
      </w:r>
    </w:p>
    <w:p>
      <w:pPr>
        <w:pStyle w:val="Normal"/>
        <w:suppressAutoHyphens w:val="true"/>
        <w:spacing w:lineRule="auto" w:line="300"/>
        <w:rPr>
          <w:sz w:val="22"/>
          <w:szCs w:val="22"/>
        </w:rPr>
      </w:pPr>
      <w:r>
        <w:rPr>
          <w:sz w:val="22"/>
          <w:szCs w:val="22"/>
        </w:rPr>
      </w:r>
    </w:p>
    <w:p>
      <w:pPr>
        <w:pStyle w:val="Normal"/>
        <w:suppressAutoHyphens w:val="true"/>
        <w:spacing w:lineRule="auto" w:line="300"/>
        <w:rPr>
          <w:sz w:val="22"/>
          <w:szCs w:val="22"/>
        </w:rPr>
      </w:pPr>
      <w:r>
        <w:rPr>
          <w:sz w:val="22"/>
          <w:szCs w:val="22"/>
        </w:rPr>
      </w:r>
    </w:p>
    <w:p>
      <w:pPr>
        <w:pStyle w:val="Normal"/>
        <w:spacing w:lineRule="auto" w:line="300"/>
        <w:rPr>
          <w:sz w:val="22"/>
          <w:szCs w:val="22"/>
        </w:rPr>
      </w:pPr>
      <w:r>
        <w:rPr>
          <w:sz w:val="22"/>
          <w:szCs w:val="22"/>
        </w:rPr>
      </w:r>
    </w:p>
    <w:p>
      <w:pPr>
        <w:pStyle w:val="Normal"/>
        <w:spacing w:lineRule="auto" w:line="300"/>
        <w:rPr>
          <w:b/>
          <w:b/>
          <w:bCs/>
          <w:sz w:val="28"/>
          <w:szCs w:val="28"/>
        </w:rPr>
      </w:pPr>
      <w:r>
        <w:rPr>
          <w:b/>
          <w:bCs/>
          <w:sz w:val="28"/>
          <w:szCs w:val="28"/>
        </w:rPr>
      </w:r>
    </w:p>
    <w:p>
      <w:pPr>
        <w:pStyle w:val="Normal"/>
        <w:spacing w:lineRule="auto" w:line="300"/>
        <w:rPr>
          <w:b/>
          <w:b/>
          <w:bCs/>
          <w:sz w:val="28"/>
          <w:szCs w:val="28"/>
        </w:rPr>
      </w:pPr>
      <w:r>
        <w:rPr>
          <w:b/>
          <w:bCs/>
          <w:sz w:val="28"/>
          <w:szCs w:val="28"/>
        </w:rPr>
      </w:r>
    </w:p>
    <w:p>
      <w:pPr>
        <w:pStyle w:val="Normal"/>
        <w:spacing w:lineRule="auto" w:line="300"/>
        <w:rPr>
          <w:sz w:val="22"/>
          <w:szCs w:val="22"/>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bCs/>
          <w:sz w:val="28"/>
          <w:szCs w:val="28"/>
        </w:rPr>
        <w:t>A</w:t>
      </w:r>
      <w:r>
        <w:rPr>
          <w:b/>
          <w:bCs/>
          <w:sz w:val="28"/>
          <w:szCs w:val="28"/>
        </w:rPr>
        <w:t>bout PicoQuant</w:t>
      </w:r>
    </w:p>
    <w:p>
      <w:pPr>
        <w:pStyle w:val="Normal"/>
        <w:rPr>
          <w:sz w:val="22"/>
          <w:szCs w:val="22"/>
        </w:rPr>
      </w:pPr>
      <w:r>
        <w:rPr>
          <w:sz w:val="22"/>
          <w:szCs w:val="22"/>
        </w:rPr>
        <w:t>PicoQuant is a leading research and development company specializing in optoelectronics, which was founded in 1996. The company, based in the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80 people.</w:t>
      </w:r>
    </w:p>
    <w:p>
      <w:pPr>
        <w:pStyle w:val="Normal"/>
        <w:rPr>
          <w:sz w:val="22"/>
          <w:szCs w:val="22"/>
        </w:rPr>
      </w:pPr>
      <w:r>
        <w:rPr>
          <w:sz w:val="22"/>
          <w:szCs w:val="22"/>
        </w:rPr>
      </w:r>
    </w:p>
    <w:p>
      <w:pPr>
        <w:pStyle w:val="Normal"/>
        <w:rPr>
          <w:sz w:val="22"/>
          <w:szCs w:val="22"/>
        </w:rPr>
      </w:pPr>
      <w:r>
        <w:rPr>
          <w:sz w:val="22"/>
          <w:szCs w:val="22"/>
        </w:rPr>
      </w:r>
    </w:p>
    <w:p>
      <w:pPr>
        <w:pStyle w:val="Normal"/>
        <w:rPr>
          <w:b/>
          <w:b/>
          <w:bCs/>
          <w:sz w:val="28"/>
          <w:szCs w:val="28"/>
        </w:rPr>
      </w:pPr>
      <w:r>
        <w:rPr>
          <w:b/>
          <w:bCs/>
          <w:sz w:val="28"/>
          <w:szCs w:val="28"/>
        </w:rPr>
        <w:t>Attachment</w:t>
      </w:r>
    </w:p>
    <w:p>
      <w:pPr>
        <w:pStyle w:val="Normal"/>
        <w:rPr/>
      </w:pPr>
      <w:r>
        <w:rPr>
          <w:sz w:val="22"/>
          <w:szCs w:val="22"/>
        </w:rPr>
        <w:t xml:space="preserve">1) </w:t>
      </w:r>
      <w:r>
        <w:rPr>
          <w:sz w:val="22"/>
          <w:szCs w:val="22"/>
        </w:rPr>
        <w:t>Picture of the Scientifica FLIM Upgrade kit</w:t>
      </w:r>
    </w:p>
    <w:p>
      <w:pPr>
        <w:pStyle w:val="Normal"/>
        <w:rPr/>
      </w:pPr>
      <w:r>
        <w:rPr>
          <w:sz w:val="22"/>
          <w:szCs w:val="22"/>
        </w:rPr>
        <w:t>Caption: Based around PicoQuant’s state-of-the-art TCSPC system, the FLIM Upgrade installed on a Scientifica multiphoton microscope enables simultaneous fluorescence intensity and fluorescence lifetime imaging.</w:t>
      </w:r>
    </w:p>
    <w:p>
      <w:pPr>
        <w:pStyle w:val="Normal"/>
        <w:rPr>
          <w:sz w:val="22"/>
          <w:szCs w:val="22"/>
        </w:rPr>
      </w:pPr>
      <w:r>
        <w:rPr>
          <w:sz w:val="22"/>
          <w:szCs w:val="22"/>
        </w:rPr>
        <w:drawing>
          <wp:anchor behindDoc="0" distT="0" distB="0" distL="0" distR="0" simplePos="0" locked="0" layoutInCell="1" allowOverlap="1" relativeHeight="4">
            <wp:simplePos x="0" y="0"/>
            <wp:positionH relativeFrom="column">
              <wp:posOffset>1068070</wp:posOffset>
            </wp:positionH>
            <wp:positionV relativeFrom="paragraph">
              <wp:posOffset>466725</wp:posOffset>
            </wp:positionV>
            <wp:extent cx="3810000" cy="2457450"/>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3810000" cy="2457450"/>
                    </a:xfrm>
                    <a:prstGeom prst="rect">
                      <a:avLst/>
                    </a:prstGeom>
                  </pic:spPr>
                </pic:pic>
              </a:graphicData>
            </a:graphic>
          </wp:anchor>
        </w:drawing>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t>2) Image of comparison of maximum intensity and FLIM images</w:t>
      </w:r>
    </w:p>
    <w:p>
      <w:pPr>
        <w:pStyle w:val="Normal"/>
        <w:rPr>
          <w:sz w:val="22"/>
          <w:szCs w:val="22"/>
        </w:rPr>
      </w:pPr>
      <w:r>
        <w:rPr>
          <w:sz w:val="22"/>
          <w:szCs w:val="22"/>
        </w:rPr>
        <w:t>Caption: Two-photon excited autofluorescence of a plant leaf. Both images show a maximum intensity projection of the imaged volume. In the FLIM image (on the left) structures with very similar brightness can be clearly distinguished by their very different fluorescence lifetimes. In contrast, in the intensity image (on the right), these structures cannot be distinguished.</w:t>
      </w:r>
    </w:p>
    <w:p>
      <w:pPr>
        <w:pStyle w:val="Normal"/>
        <w:rPr>
          <w:sz w:val="22"/>
          <w:szCs w:val="22"/>
        </w:rPr>
      </w:pPr>
      <w:r>
        <w:rPr>
          <w:sz w:val="22"/>
          <w:szCs w:val="22"/>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3810000" cy="1790700"/>
            <wp:effectExtent l="0" t="0" r="0" b="0"/>
            <wp:wrapTopAndBottom/>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3810000" cy="1790700"/>
                    </a:xfrm>
                    <a:prstGeom prst="rect">
                      <a:avLst/>
                    </a:prstGeom>
                  </pic:spPr>
                </pic:pic>
              </a:graphicData>
            </a:graphic>
          </wp:anchor>
        </w:drawing>
      </w:r>
    </w:p>
    <w:p>
      <w:pPr>
        <w:pStyle w:val="Normal"/>
        <w:rPr>
          <w:sz w:val="22"/>
          <w:szCs w:val="22"/>
        </w:rPr>
      </w:pPr>
      <w:r>
        <w:rPr>
          <w:sz w:val="22"/>
          <w:szCs w:val="22"/>
        </w:rPr>
      </w:r>
    </w:p>
    <w:p>
      <w:pPr>
        <w:pStyle w:val="Normal"/>
        <w:rPr>
          <w:sz w:val="22"/>
          <w:szCs w:val="22"/>
        </w:rPr>
      </w:pPr>
      <w:r>
        <w:rPr>
          <w:sz w:val="22"/>
          <w:szCs w:val="22"/>
        </w:rPr>
      </w:r>
    </w:p>
    <w:p>
      <w:pPr>
        <w:pStyle w:val="Normal"/>
        <w:rPr>
          <w:b/>
          <w:b/>
          <w:bCs/>
          <w:sz w:val="28"/>
          <w:szCs w:val="28"/>
        </w:rPr>
      </w:pPr>
      <w:r>
        <w:rPr>
          <w:b/>
          <w:bCs/>
          <w:sz w:val="28"/>
          <w:szCs w:val="28"/>
        </w:rPr>
        <w:t>Contact</w:t>
      </w:r>
    </w:p>
    <w:p>
      <w:pPr>
        <w:pStyle w:val="Normal"/>
        <w:rPr>
          <w:sz w:val="22"/>
          <w:szCs w:val="22"/>
        </w:rPr>
      </w:pPr>
      <w:r>
        <w:rPr>
          <w:sz w:val="22"/>
          <w:szCs w:val="22"/>
        </w:rPr>
        <w:t>Nicole Saritas</w:t>
      </w:r>
    </w:p>
    <w:p>
      <w:pPr>
        <w:pStyle w:val="Normal"/>
        <w:rPr>
          <w:sz w:val="22"/>
          <w:szCs w:val="22"/>
        </w:rPr>
      </w:pPr>
      <w:r>
        <w:rPr>
          <w:sz w:val="22"/>
          <w:szCs w:val="22"/>
        </w:rPr>
        <w:t>Marketing Communications</w:t>
      </w:r>
    </w:p>
    <w:p>
      <w:pPr>
        <w:pStyle w:val="Normal"/>
        <w:rPr>
          <w:sz w:val="22"/>
          <w:szCs w:val="22"/>
          <w:lang w:val="de-DE"/>
        </w:rPr>
      </w:pPr>
      <w:r>
        <w:rPr>
          <w:sz w:val="22"/>
          <w:szCs w:val="22"/>
          <w:lang w:val="de-DE"/>
        </w:rPr>
        <w:t>Tel.: +49-30-1208820-607</w:t>
      </w:r>
    </w:p>
    <w:p>
      <w:pPr>
        <w:pStyle w:val="Normal"/>
        <w:rPr/>
      </w:pPr>
      <w:hyperlink r:id="rId6">
        <w:r>
          <w:rPr>
            <w:rStyle w:val="Internetverknpfung"/>
            <w:sz w:val="22"/>
            <w:szCs w:val="22"/>
            <w:lang w:val="de-DE"/>
          </w:rPr>
          <w:t>mkt@picoquant.com</w:t>
        </w:r>
      </w:hyperlink>
    </w:p>
    <w:p>
      <w:pPr>
        <w:pStyle w:val="Normal"/>
        <w:rPr/>
      </w:pPr>
      <w:r>
        <w:rPr>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settings.xml><?xml version="1.0" encoding="utf-8"?>
<w:settings xmlns:w="http://schemas.openxmlformats.org/wordprocessingml/2006/main">
  <w:zoom w:percent="100"/>
  <w:defaultTabStop w:val="709"/>
  <w:compat>
    <w:compatSetting w:name="compatibilityMode" w:uri="http://schemas.microsoft.com/office/word" w:val="12"/>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Cs w:val="24"/>
        <w:lang w:val="en-US"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jc w:val="left"/>
    </w:pPr>
    <w:rPr>
      <w:rFonts w:ascii="Arial" w:hAnsi="Arial" w:eastAsia="Lucida Sans Unicode" w:cs="Tahoma"/>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Internetverknpfung" w:customStyle="1">
    <w:name w:val="Internetverknüpfung"/>
    <w:rPr>
      <w:color w:val="000080"/>
      <w:u w:val="single"/>
    </w:rPr>
  </w:style>
  <w:style w:type="character" w:styleId="ListLabel1">
    <w:name w:val="ListLabel 1"/>
    <w:qFormat/>
    <w:rPr>
      <w:sz w:val="22"/>
      <w:szCs w:val="22"/>
      <w:lang w:val="de-DE"/>
    </w:rPr>
  </w:style>
  <w:style w:type="character" w:styleId="ListLabel2">
    <w:name w:val="ListLabel 2"/>
    <w:qFormat/>
    <w:rPr>
      <w:sz w:val="22"/>
      <w:szCs w:val="22"/>
      <w:lang w:val="de-DE"/>
    </w:rPr>
  </w:style>
  <w:style w:type="character" w:styleId="ListLabel3">
    <w:name w:val="ListLabel 3"/>
    <w:qFormat/>
    <w:rPr>
      <w:sz w:val="22"/>
      <w:szCs w:val="22"/>
      <w:lang w:val="de-DE"/>
    </w:rPr>
  </w:style>
  <w:style w:type="paragraph" w:styleId="Berschrift" w:customStyle="1">
    <w:name w:val="Überschrift"/>
    <w:basedOn w:val="Normal"/>
    <w:next w:val="Textkrper"/>
    <w:qFormat/>
    <w:pPr>
      <w:keepNext w:val="true"/>
      <w:spacing w:before="240" w:after="120"/>
    </w:pPr>
    <w:rPr>
      <w:sz w:val="28"/>
      <w:szCs w:val="28"/>
    </w:rPr>
  </w:style>
  <w:style w:type="paragraph" w:styleId="Textkrper">
    <w:name w:val="Body Text"/>
    <w:basedOn w:val="Normal"/>
    <w:pPr>
      <w:spacing w:before="0" w:after="120"/>
    </w:pPr>
    <w:rPr/>
  </w:style>
  <w:style w:type="paragraph" w:styleId="Liste">
    <w:name w:val="List"/>
    <w:basedOn w:val="Textkrper"/>
    <w:pPr/>
    <w:rPr/>
  </w:style>
  <w:style w:type="paragraph" w:styleId="Beschriftung">
    <w:name w:val="Caption"/>
    <w:basedOn w:val="Normal"/>
    <w:qFormat/>
    <w:pPr>
      <w:suppressLineNumbers/>
      <w:spacing w:before="120" w:after="120"/>
    </w:pPr>
    <w:rPr>
      <w:rFonts w:ascii="Arial" w:hAnsi="Arial" w:cs="Arial"/>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customStyle="1">
    <w:name w:val="Tabelleninhalt"/>
    <w:basedOn w:val="Textkrper"/>
    <w:qFormat/>
    <w:pPr>
      <w:suppressLineNumbers/>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hyperlink" Target="mailto:mkt@picoquant.com"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Application>LibreOffice/6.0.6.2$Windows_x86 LibreOffice_project/0c292870b25a325b5ed35f6b45599d2ea4458e77</Application>
  <Pages>3</Pages>
  <Words>469</Words>
  <Characters>2899</Characters>
  <CharactersWithSpaces>3351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2019-04-18T11:30:00Z</dcterms:created>
  <dc:creator>André Devaux</dc:creator>
  <dc:description/>
  <dc:language>de-DE</dc:language>
  <cp:lastModifiedBy>Nicole Saritas</cp:lastModifiedBy>
  <dcterms:modified xsi:type="dcterms:W3CDTF">2019-04-25T09:28:26Z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