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spacing w:lineRule="auto" w:line="300"/>
        <w:rPr>
          <w:b/>
          <w:b/>
          <w:bCs/>
          <w:sz w:val="48"/>
          <w:szCs w:val="48"/>
        </w:rPr>
      </w:pPr>
      <w:r>
        <w:rPr>
          <w:b/>
          <w:bCs/>
          <w:sz w:val="48"/>
          <w:szCs w:val="48"/>
        </w:rPr>
        <w:drawing>
          <wp:anchor behindDoc="0" distT="0" distB="0" distL="0" distR="0" simplePos="0" locked="0" layoutInCell="1" allowOverlap="1" relativeHeight="2">
            <wp:simplePos x="0" y="0"/>
            <wp:positionH relativeFrom="page">
              <wp:posOffset>5518150</wp:posOffset>
            </wp:positionH>
            <wp:positionV relativeFrom="page">
              <wp:posOffset>642620</wp:posOffset>
            </wp:positionV>
            <wp:extent cx="1167130" cy="1109345"/>
            <wp:effectExtent l="0" t="0" r="0" b="0"/>
            <wp:wrapNone/>
            <wp:docPr id="1"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descr=""/>
                    <pic:cNvPicPr>
                      <a:picLocks noChangeAspect="1" noChangeArrowheads="1"/>
                    </pic:cNvPicPr>
                  </pic:nvPicPr>
                  <pic:blipFill>
                    <a:blip r:embed="rId2"/>
                    <a:stretch>
                      <a:fillRect/>
                    </a:stretch>
                  </pic:blipFill>
                  <pic:spPr bwMode="auto">
                    <a:xfrm>
                      <a:off x="0" y="0"/>
                      <a:ext cx="1167130" cy="1109345"/>
                    </a:xfrm>
                    <a:prstGeom prst="rect">
                      <a:avLst/>
                    </a:prstGeom>
                  </pic:spPr>
                </pic:pic>
              </a:graphicData>
            </a:graphic>
          </wp:anchor>
        </w:drawing>
      </w:r>
    </w:p>
    <w:p>
      <w:pPr>
        <w:pStyle w:val="Normal"/>
        <w:spacing w:lineRule="auto" w:line="300"/>
        <w:rPr>
          <w:b/>
          <w:b/>
          <w:bCs/>
          <w:sz w:val="48"/>
          <w:szCs w:val="48"/>
        </w:rPr>
      </w:pPr>
      <w:r>
        <w:rPr>
          <w:b/>
          <w:bCs/>
          <w:sz w:val="48"/>
          <w:szCs w:val="48"/>
        </w:rPr>
        <w:t>Press Release</w:t>
      </w:r>
    </w:p>
    <w:p>
      <w:pPr>
        <w:pStyle w:val="Normal"/>
        <w:spacing w:lineRule="auto" w:line="300"/>
        <w:rPr>
          <w:b/>
          <w:b/>
          <w:bCs/>
          <w:sz w:val="28"/>
          <w:szCs w:val="28"/>
        </w:rPr>
      </w:pPr>
      <w:r>
        <w:rPr>
          <w:b/>
          <w:bCs/>
          <w:sz w:val="28"/>
          <w:szCs w:val="28"/>
        </w:rPr>
      </w:r>
    </w:p>
    <w:p>
      <w:pPr>
        <w:pStyle w:val="Normal"/>
        <w:spacing w:lineRule="auto" w:line="300"/>
        <w:rPr>
          <w:b/>
          <w:b/>
          <w:bCs/>
          <w:sz w:val="28"/>
          <w:szCs w:val="28"/>
        </w:rPr>
      </w:pPr>
      <w:r>
        <w:rPr>
          <w:b/>
          <w:bCs/>
          <w:sz w:val="28"/>
          <w:szCs w:val="28"/>
        </w:rPr>
      </w:r>
    </w:p>
    <w:p>
      <w:pPr>
        <w:pStyle w:val="Normal"/>
        <w:spacing w:lineRule="auto" w:line="300"/>
        <w:rPr>
          <w:b/>
          <w:b/>
          <w:bCs/>
          <w:sz w:val="28"/>
          <w:szCs w:val="28"/>
        </w:rPr>
      </w:pPr>
      <w:r>
        <w:rPr>
          <w:b/>
          <w:bCs/>
          <w:sz w:val="28"/>
          <w:szCs w:val="28"/>
        </w:rPr>
      </w:r>
    </w:p>
    <w:p>
      <w:pPr>
        <w:pStyle w:val="Normal"/>
        <w:spacing w:lineRule="auto" w:line="300"/>
        <w:rPr>
          <w:b/>
          <w:b/>
          <w:bCs/>
          <w:sz w:val="28"/>
          <w:szCs w:val="28"/>
        </w:rPr>
      </w:pPr>
      <w:r>
        <w:rPr>
          <w:b/>
          <w:bCs/>
          <w:sz w:val="28"/>
          <w:szCs w:val="28"/>
        </w:rPr>
      </w:r>
    </w:p>
    <w:p>
      <w:pPr>
        <w:pStyle w:val="Normal"/>
        <w:spacing w:lineRule="auto" w:line="300"/>
        <w:rPr>
          <w:b/>
          <w:b/>
          <w:bCs/>
          <w:sz w:val="28"/>
          <w:szCs w:val="28"/>
        </w:rPr>
      </w:pPr>
      <w:r>
        <w:rPr>
          <w:b/>
          <w:bCs/>
          <w:sz w:val="28"/>
          <w:szCs w:val="28"/>
        </w:rPr>
        <w:t>ZEISS shakes hands with PicoQuant – new software integration</w:t>
      </w:r>
    </w:p>
    <w:p>
      <w:pPr>
        <w:pStyle w:val="Normal"/>
        <w:spacing w:lineRule="auto" w:line="300"/>
        <w:rPr>
          <w:b/>
          <w:b/>
          <w:bCs/>
          <w:sz w:val="22"/>
          <w:szCs w:val="22"/>
        </w:rPr>
      </w:pPr>
      <w:r>
        <w:rPr>
          <w:b/>
          <w:bCs/>
          <w:sz w:val="22"/>
          <w:szCs w:val="22"/>
        </w:rPr>
      </w:r>
    </w:p>
    <w:p>
      <w:pPr>
        <w:pStyle w:val="Normal"/>
        <w:spacing w:lineRule="auto" w:line="300"/>
        <w:rPr>
          <w:b/>
          <w:b/>
          <w:bCs/>
          <w:sz w:val="22"/>
          <w:szCs w:val="22"/>
        </w:rPr>
      </w:pPr>
      <w:r>
        <w:rPr>
          <w:b/>
          <w:bCs/>
          <w:sz w:val="22"/>
          <w:szCs w:val="22"/>
        </w:rPr>
        <w:t>Time-resolved data acquisition from PicoQuant’s LSM Upgrade Kits is now integrated into the ZEN software from ZEISS</w:t>
      </w:r>
    </w:p>
    <w:p>
      <w:pPr>
        <w:pStyle w:val="Normal"/>
        <w:spacing w:lineRule="auto" w:line="300"/>
        <w:rPr>
          <w:b/>
          <w:b/>
          <w:bCs/>
          <w:sz w:val="22"/>
          <w:szCs w:val="22"/>
        </w:rPr>
      </w:pPr>
      <w:r>
        <w:rPr>
          <w:b/>
          <w:bCs/>
          <w:sz w:val="22"/>
          <w:szCs w:val="22"/>
        </w:rPr>
      </w:r>
    </w:p>
    <w:p>
      <w:pPr>
        <w:pStyle w:val="Normal"/>
        <w:spacing w:lineRule="auto" w:line="300"/>
        <w:rPr>
          <w:b/>
          <w:b/>
          <w:bCs/>
          <w:sz w:val="22"/>
          <w:szCs w:val="22"/>
        </w:rPr>
      </w:pPr>
      <w:r>
        <w:rPr>
          <w:b/>
          <w:bCs/>
          <w:sz w:val="22"/>
          <w:szCs w:val="22"/>
        </w:rPr>
      </w:r>
    </w:p>
    <w:p>
      <w:pPr>
        <w:pStyle w:val="Normal"/>
        <w:spacing w:lineRule="auto" w:line="300" w:before="0" w:after="113"/>
        <w:rPr/>
      </w:pPr>
      <w:r>
        <w:rPr>
          <w:b/>
          <w:bCs/>
          <w:sz w:val="22"/>
          <w:szCs w:val="22"/>
        </w:rPr>
        <w:t xml:space="preserve">Berlin (Germany), </w:t>
      </w:r>
      <w:r>
        <w:rPr>
          <w:b/>
          <w:bCs/>
          <w:sz w:val="22"/>
          <w:szCs w:val="22"/>
        </w:rPr>
        <w:t>31</w:t>
      </w:r>
      <w:r>
        <w:rPr>
          <w:b/>
          <w:bCs/>
          <w:color w:val="000000"/>
          <w:sz w:val="22"/>
          <w:szCs w:val="22"/>
        </w:rPr>
        <w:t xml:space="preserve"> Ju</w:t>
      </w:r>
      <w:r>
        <w:rPr>
          <w:b/>
          <w:bCs/>
          <w:color w:val="000000"/>
          <w:sz w:val="22"/>
          <w:szCs w:val="22"/>
        </w:rPr>
        <w:t>ly</w:t>
      </w:r>
      <w:r>
        <w:rPr>
          <w:b/>
          <w:bCs/>
          <w:color w:val="000000"/>
          <w:sz w:val="22"/>
          <w:szCs w:val="22"/>
        </w:rPr>
        <w:t xml:space="preserve"> 2018</w:t>
      </w:r>
      <w:r>
        <w:rPr>
          <w:b/>
          <w:bCs/>
          <w:sz w:val="22"/>
          <w:szCs w:val="22"/>
        </w:rPr>
        <w:t xml:space="preserve"> </w:t>
      </w:r>
      <w:r>
        <w:rPr>
          <w:sz w:val="22"/>
          <w:szCs w:val="22"/>
        </w:rPr>
        <w:t xml:space="preserve">– ZEISS has recently developed and released a </w:t>
      </w:r>
      <w:r>
        <w:rPr>
          <w:sz w:val="22"/>
          <w:szCs w:val="22"/>
        </w:rPr>
        <w:t>H</w:t>
      </w:r>
      <w:r>
        <w:rPr>
          <w:sz w:val="22"/>
          <w:szCs w:val="22"/>
        </w:rPr>
        <w:t>andshake plug-in for their ZEISS ZEN imaging software. This plug-in enables acquiring time-resolved data with PicoQuant’s LSM Upgrade Kit within the familiar ZEISS ZEN environment.</w:t>
      </w:r>
    </w:p>
    <w:p>
      <w:pPr>
        <w:pStyle w:val="Normal"/>
        <w:spacing w:lineRule="auto" w:line="300" w:before="0" w:after="113"/>
        <w:rPr>
          <w:sz w:val="22"/>
          <w:szCs w:val="22"/>
        </w:rPr>
      </w:pPr>
      <w:r>
        <w:rPr>
          <w:sz w:val="22"/>
          <w:szCs w:val="22"/>
        </w:rPr>
        <w:t>This integration provides you with a further way to optimize your Fluorescence Lifetime Imaging (FLIM) or Fluorescence Correlation Spectroscopy (FCS) measurement workflow. The s</w:t>
      </w:r>
      <w:r>
        <w:rPr>
          <w:rFonts w:ascii="Arial;sans-serif" w:hAnsi="Arial;sans-serif"/>
          <w:sz w:val="22"/>
          <w:szCs w:val="22"/>
        </w:rPr>
        <w:t xml:space="preserve">ubsequent data analysis is performed employing the powerful and versatile tools provided by PicoQuant’s SymPhoTime 64 software package. </w:t>
      </w:r>
    </w:p>
    <w:p>
      <w:pPr>
        <w:pStyle w:val="Normal"/>
        <w:spacing w:lineRule="auto" w:line="300" w:before="0" w:after="113"/>
        <w:rPr>
          <w:sz w:val="22"/>
          <w:szCs w:val="22"/>
        </w:rPr>
      </w:pPr>
      <w:r>
        <w:rPr>
          <w:rFonts w:ascii="Arial;sans-serif" w:hAnsi="Arial;sans-serif"/>
          <w:sz w:val="22"/>
          <w:szCs w:val="22"/>
        </w:rPr>
        <w:t>The ZEISS ZEN software integration allows setting up and controlling basic confocal, FLIM, FCS and FLCS measurements as well as more complex acquisition schemes such as multi-point FCS, time-series FLIM, or even 3D-FLIM images. All of these advanced acquisition modes can also be combined into a single experiment.</w:t>
      </w:r>
    </w:p>
    <w:p>
      <w:pPr>
        <w:pStyle w:val="Normal"/>
        <w:spacing w:lineRule="auto" w:line="300"/>
        <w:rPr>
          <w:sz w:val="22"/>
          <w:szCs w:val="22"/>
        </w:rPr>
      </w:pPr>
      <w:r>
        <w:rPr>
          <w:sz w:val="22"/>
          <w:szCs w:val="22"/>
        </w:rPr>
      </w:r>
    </w:p>
    <w:p>
      <w:pPr>
        <w:pStyle w:val="Normal"/>
        <w:spacing w:lineRule="auto" w:line="300"/>
        <w:rPr/>
      </w:pPr>
      <w:r>
        <w:rPr>
          <w:b/>
          <w:bCs/>
          <w:sz w:val="28"/>
          <w:szCs w:val="28"/>
        </w:rPr>
        <w:t>About PicoQuant</w:t>
      </w:r>
    </w:p>
    <w:p>
      <w:pPr>
        <w:pStyle w:val="Normal"/>
        <w:rPr/>
      </w:pPr>
      <w:r>
        <w:rPr>
          <w:sz w:val="22"/>
          <w:szCs w:val="22"/>
        </w:rPr>
        <w:t>PicoQuant is a leading research and development company specializing in optoelectronics, which was founded in 1996. The company, based in the science and technology park of Berlin-Adlershof, Germany, is a worldwide leader in the field of single photon counting applications. The product portfolio encompasses picosecond pulsed diode lasers and LEDs, photon counting instrumentation, fluorescence lifetime spectrometers, FLIM and FCS upgrade kits for laser scanning microscopes as well as time-resolved confocal and super-resolution microscopes. Since April 2008 Sales and Support in North America is handled by PicoQuant Photonics North America Inc. The PicoQuant group employs currently around 80 people.</w:t>
      </w:r>
    </w:p>
    <w:p>
      <w:pPr>
        <w:pStyle w:val="Normal"/>
        <w:spacing w:lineRule="auto" w:line="300"/>
        <w:rPr>
          <w:sz w:val="22"/>
          <w:szCs w:val="22"/>
        </w:rPr>
      </w:pPr>
      <w:r>
        <w:rPr>
          <w:sz w:val="22"/>
          <w:szCs w:val="22"/>
        </w:rPr>
      </w:r>
    </w:p>
    <w:p>
      <w:pPr>
        <w:pStyle w:val="Normal"/>
        <w:spacing w:lineRule="auto" w:line="300"/>
        <w:rPr>
          <w:sz w:val="22"/>
          <w:szCs w:val="22"/>
        </w:rPr>
      </w:pPr>
      <w:r>
        <w:rPr>
          <w:sz w:val="22"/>
          <w:szCs w:val="22"/>
        </w:rPr>
      </w:r>
    </w:p>
    <w:p>
      <w:pPr>
        <w:pStyle w:val="Normal"/>
        <w:spacing w:lineRule="auto" w:line="300"/>
        <w:rPr>
          <w:sz w:val="22"/>
          <w:szCs w:val="22"/>
        </w:rPr>
      </w:pPr>
      <w:r>
        <w:rPr>
          <w:sz w:val="22"/>
          <w:szCs w:val="22"/>
        </w:rPr>
      </w:r>
    </w:p>
    <w:p>
      <w:pPr>
        <w:pStyle w:val="Normal"/>
        <w:spacing w:lineRule="auto" w:line="300"/>
        <w:rPr>
          <w:sz w:val="22"/>
          <w:szCs w:val="22"/>
        </w:rPr>
      </w:pPr>
      <w:r>
        <w:rPr>
          <w:sz w:val="22"/>
          <w:szCs w:val="22"/>
        </w:rPr>
      </w:r>
    </w:p>
    <w:p>
      <w:pPr>
        <w:pStyle w:val="Normal"/>
        <w:spacing w:lineRule="auto" w:line="300"/>
        <w:rPr>
          <w:sz w:val="22"/>
          <w:szCs w:val="22"/>
        </w:rPr>
      </w:pPr>
      <w:r>
        <w:rPr>
          <w:sz w:val="22"/>
          <w:szCs w:val="22"/>
        </w:rPr>
      </w:r>
    </w:p>
    <w:p>
      <w:pPr>
        <w:pStyle w:val="Normal"/>
        <w:spacing w:lineRule="auto" w:line="300"/>
        <w:rPr>
          <w:sz w:val="22"/>
          <w:szCs w:val="22"/>
        </w:rPr>
      </w:pPr>
      <w:r>
        <w:rPr>
          <w:sz w:val="22"/>
          <w:szCs w:val="22"/>
        </w:rPr>
      </w:r>
    </w:p>
    <w:p>
      <w:pPr>
        <w:pStyle w:val="Normal"/>
        <w:spacing w:lineRule="auto" w:line="300"/>
        <w:rPr>
          <w:b/>
          <w:b/>
          <w:bCs/>
          <w:sz w:val="28"/>
          <w:szCs w:val="28"/>
        </w:rPr>
      </w:pPr>
      <w:r>
        <w:rPr>
          <w:b/>
          <w:bCs/>
          <w:sz w:val="28"/>
          <w:szCs w:val="28"/>
        </w:rPr>
        <w:drawing>
          <wp:anchor behindDoc="0" distT="0" distB="0" distL="0" distR="0" simplePos="0" locked="0" layoutInCell="1" allowOverlap="1" relativeHeight="3">
            <wp:simplePos x="0" y="0"/>
            <wp:positionH relativeFrom="page">
              <wp:posOffset>5518150</wp:posOffset>
            </wp:positionH>
            <wp:positionV relativeFrom="page">
              <wp:posOffset>642620</wp:posOffset>
            </wp:positionV>
            <wp:extent cx="1167130" cy="1109345"/>
            <wp:effectExtent l="0" t="0" r="0" b="0"/>
            <wp:wrapTopAndBottom/>
            <wp:docPr id="2"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2" descr=""/>
                    <pic:cNvPicPr>
                      <a:picLocks noChangeAspect="1" noChangeArrowheads="1"/>
                    </pic:cNvPicPr>
                  </pic:nvPicPr>
                  <pic:blipFill>
                    <a:blip r:embed="rId3"/>
                    <a:stretch>
                      <a:fillRect/>
                    </a:stretch>
                  </pic:blipFill>
                  <pic:spPr bwMode="auto">
                    <a:xfrm>
                      <a:off x="0" y="0"/>
                      <a:ext cx="1167130" cy="1109345"/>
                    </a:xfrm>
                    <a:prstGeom prst="rect">
                      <a:avLst/>
                    </a:prstGeom>
                  </pic:spPr>
                </pic:pic>
              </a:graphicData>
            </a:graphic>
          </wp:anchor>
        </w:drawing>
      </w:r>
    </w:p>
    <w:p>
      <w:pPr>
        <w:pStyle w:val="Normal"/>
        <w:rPr/>
      </w:pPr>
      <w:r>
        <w:rPr>
          <w:b/>
        </w:rPr>
        <w:t>About ZEISS Microscopy</w:t>
      </w:r>
    </w:p>
    <w:p>
      <w:pPr>
        <w:pStyle w:val="Normal"/>
        <w:rPr>
          <w:b w:val="false"/>
          <w:b w:val="false"/>
          <w:bCs w:val="false"/>
          <w:sz w:val="22"/>
          <w:szCs w:val="22"/>
        </w:rPr>
      </w:pPr>
      <w:r>
        <w:rPr>
          <w:b w:val="false"/>
          <w:bCs w:val="false"/>
          <w:sz w:val="22"/>
          <w:szCs w:val="22"/>
        </w:rPr>
        <w:t>ZEISS is an internationally leading technology enterprise operating in the optics and optoelectronics industries. The Microscopy business group is the world's only one-stop manufacturer of light, electron, X-ray and ion microscope systems and offers solutions for correlative microscopy. The portfolio compromises products and services for the life sciences and materials research as well as for industry, education and clinical practice. The business group is headquartered in Jena. Additional production and development sites are located in Oberkochen, Göttingen and Munich, as well as in Cambridge in the UK, and in Peabody, MA and Pleasanton, CA in the USA. The business group is allocated to the Research &amp; Quality Technology segment. Around 6,300 employees work for the segment, generating revenue totaling €1.5 billion in fiscal year 2016/17.</w:t>
      </w:r>
    </w:p>
    <w:p>
      <w:pPr>
        <w:pStyle w:val="Normal"/>
        <w:rPr>
          <w:sz w:val="22"/>
          <w:szCs w:val="22"/>
        </w:rPr>
      </w:pPr>
      <w:r>
        <w:rPr>
          <w:sz w:val="22"/>
          <w:szCs w:val="22"/>
        </w:rPr>
      </w:r>
    </w:p>
    <w:p>
      <w:pPr>
        <w:pStyle w:val="Normal"/>
        <w:rPr>
          <w:sz w:val="22"/>
          <w:szCs w:val="22"/>
        </w:rPr>
      </w:pPr>
      <w:r>
        <w:rPr>
          <w:sz w:val="22"/>
          <w:szCs w:val="22"/>
        </w:rPr>
      </w:r>
    </w:p>
    <w:p>
      <w:pPr>
        <w:pStyle w:val="Normal"/>
        <w:rPr>
          <w:b/>
          <w:b/>
          <w:bCs/>
          <w:sz w:val="28"/>
          <w:szCs w:val="28"/>
        </w:rPr>
      </w:pPr>
      <w:r>
        <w:rPr>
          <w:b/>
          <w:bCs/>
          <w:sz w:val="28"/>
          <w:szCs w:val="28"/>
        </w:rPr>
        <w:t>Attachment</w:t>
      </w:r>
    </w:p>
    <w:p>
      <w:pPr>
        <w:pStyle w:val="Normal"/>
        <w:rPr>
          <w:sz w:val="22"/>
          <w:szCs w:val="22"/>
        </w:rPr>
      </w:pPr>
      <w:r>
        <w:rPr>
          <w:sz w:val="22"/>
          <w:szCs w:val="22"/>
        </w:rPr>
      </w:r>
    </w:p>
    <w:p>
      <w:pPr>
        <w:pStyle w:val="Normal"/>
        <w:rPr/>
      </w:pPr>
      <w:r>
        <mc:AlternateContent>
          <mc:Choice Requires="wpg">
            <w:drawing>
              <wp:anchor behindDoc="0" distT="0" distB="0" distL="0" distR="0" simplePos="0" locked="0" layoutInCell="1" allowOverlap="1" relativeHeight="4">
                <wp:simplePos x="0" y="0"/>
                <wp:positionH relativeFrom="column">
                  <wp:posOffset>10795</wp:posOffset>
                </wp:positionH>
                <wp:positionV relativeFrom="paragraph">
                  <wp:posOffset>41275</wp:posOffset>
                </wp:positionV>
                <wp:extent cx="5510530" cy="2768600"/>
                <wp:effectExtent l="0" t="0" r="0" b="0"/>
                <wp:wrapTopAndBottom/>
                <wp:docPr id="3" name="Gruppieren 3"/>
                <a:graphic xmlns:a="http://schemas.openxmlformats.org/drawingml/2006/main">
                  <a:graphicData uri="http://schemas.microsoft.com/office/word/2010/wordprocessingGroup">
                    <wpg:wgp>
                      <wpg:cNvGrpSpPr/>
                      <wpg:grpSpPr>
                        <a:xfrm>
                          <a:off x="0" y="0"/>
                          <a:ext cx="5509800" cy="2768040"/>
                        </a:xfrm>
                      </wpg:grpSpPr>
                      <wpg:grpSp>
                        <wpg:cNvGrpSpPr/>
                        <wpg:grpSpPr>
                          <a:xfrm>
                            <a:off x="0" y="7560"/>
                            <a:ext cx="4496400" cy="2760480"/>
                          </a:xfrm>
                        </wpg:grpSpPr>
                        <pic:pic xmlns:pic="http://schemas.openxmlformats.org/drawingml/2006/picture">
                          <pic:nvPicPr>
                            <pic:cNvPr id="0" name="Grafik 5" descr=""/>
                            <pic:cNvPicPr/>
                          </pic:nvPicPr>
                          <pic:blipFill>
                            <a:blip r:embed="rId4"/>
                            <a:srcRect l="0" t="0" r="10473" b="0"/>
                            <a:stretch/>
                          </pic:blipFill>
                          <pic:spPr>
                            <a:xfrm>
                              <a:off x="0" y="0"/>
                              <a:ext cx="4496400" cy="2760480"/>
                            </a:xfrm>
                            <a:prstGeom prst="rect">
                              <a:avLst/>
                            </a:prstGeom>
                            <a:ln>
                              <a:noFill/>
                            </a:ln>
                          </pic:spPr>
                        </pic:pic>
                        <pic:pic xmlns:pic="http://schemas.openxmlformats.org/drawingml/2006/picture">
                          <pic:nvPicPr>
                            <pic:cNvPr id="1" name="Grafik 6" descr=""/>
                            <pic:cNvPicPr/>
                          </pic:nvPicPr>
                          <pic:blipFill>
                            <a:blip r:embed="rId5"/>
                            <a:stretch/>
                          </pic:blipFill>
                          <pic:spPr>
                            <a:xfrm>
                              <a:off x="1528920" y="163800"/>
                              <a:ext cx="2177280" cy="2163960"/>
                            </a:xfrm>
                            <a:prstGeom prst="rect">
                              <a:avLst/>
                            </a:prstGeom>
                            <a:ln>
                              <a:noFill/>
                            </a:ln>
                          </pic:spPr>
                        </pic:pic>
                      </wpg:grpSp>
                      <pic:pic xmlns:pic="http://schemas.openxmlformats.org/drawingml/2006/picture">
                        <pic:nvPicPr>
                          <pic:cNvPr id="2" name="Form2" descr=""/>
                          <pic:cNvPicPr/>
                        </pic:nvPicPr>
                        <pic:blipFill>
                          <a:blip r:embed="rId4"/>
                          <a:srcRect l="89447" t="0" r="0" b="48825"/>
                          <a:stretch/>
                        </pic:blipFill>
                        <pic:spPr>
                          <a:xfrm>
                            <a:off x="4497840" y="0"/>
                            <a:ext cx="1012320" cy="2768040"/>
                          </a:xfrm>
                          <a:prstGeom prst="rect">
                            <a:avLst/>
                          </a:prstGeom>
                          <a:ln>
                            <a:noFill/>
                          </a:ln>
                        </pic:spPr>
                      </pic:pic>
                      <pic:pic xmlns:pic="http://schemas.openxmlformats.org/drawingml/2006/picture">
                        <pic:nvPicPr>
                          <pic:cNvPr id="3" name="Form3" descr=""/>
                          <pic:cNvPicPr/>
                        </pic:nvPicPr>
                        <pic:blipFill>
                          <a:blip r:embed="rId6"/>
                          <a:srcRect l="0" t="0" r="98420" b="472592"/>
                          <a:stretch/>
                        </pic:blipFill>
                        <pic:spPr>
                          <a:xfrm>
                            <a:off x="3316680" y="1262520"/>
                            <a:ext cx="1103040" cy="1032480"/>
                          </a:xfrm>
                          <a:prstGeom prst="rect">
                            <a:avLst/>
                          </a:prstGeom>
                          <a:ln>
                            <a:noFill/>
                          </a:ln>
                        </pic:spPr>
                      </pic:pic>
                    </wpg:wgp>
                  </a:graphicData>
                </a:graphic>
              </wp:anchor>
            </w:drawing>
          </mc:Choice>
          <mc:Fallback>
            <w:pict>
              <v:group id="shape_0" alt="Gruppieren 3" style="position:absolute;margin-left:0.85pt;margin-top:3.25pt;width:433.85pt;height:217.95pt" coordorigin="17,65" coordsize="8677,4359">
                <v:group id="shape_0" style="position:absolute;left:17;top:77;width:7081;height:4347">
                  <v:rect id="shape_0" ID="Grafik 5" stroked="f" style="position:absolute;left:17;top:77;width:7080;height:4346">
                    <v:imagedata r:id="rId4" o:detectmouseclick="t"/>
                    <w10:wrap type="none"/>
                    <v:stroke color="#3465a4" joinstyle="round" endcap="flat"/>
                  </v:rect>
                  <v:rect id="shape_0" ID="Grafik 6" stroked="f" style="position:absolute;left:2425;top:335;width:3428;height:3407">
                    <v:imagedata r:id="rId5" o:detectmouseclick="t"/>
                    <w10:wrap type="none"/>
                    <v:stroke color="#3465a4" joinstyle="round" endcap="flat"/>
                  </v:rect>
                </v:group>
                <v:rect id="shape_0" ID="Form2" stroked="f" style="position:absolute;left:7100;top:65;width:1593;height:4358">
                  <v:imagedata r:id="rId4" o:detectmouseclick="t"/>
                  <w10:wrap type="none"/>
                  <v:stroke color="#3465a4" joinstyle="round" endcap="flat"/>
                </v:rect>
                <v:rect id="shape_0" ID="Form3" stroked="f" style="position:absolute;left:5240;top:2053;width:1736;height:1625">
                  <v:imagedata r:id="rId6" o:detectmouseclick="t"/>
                  <w10:wrap type="none"/>
                  <v:stroke color="#3465a4" joinstyle="round" endcap="flat"/>
                </v:rect>
              </v:group>
            </w:pict>
          </mc:Fallback>
        </mc:AlternateContent>
      </w:r>
      <w:r>
        <w:rPr>
          <w:sz w:val="22"/>
          <w:szCs w:val="22"/>
        </w:rPr>
        <w:t>Caption: User-friendly multi-spot selection in ZEISS ZEN software for fluorescence lifetime correlation spectroscopy (FLCS) data acquisition with subsequent data analysis in PicoQuant’s SymPhoTime software</w:t>
      </w:r>
    </w:p>
    <w:p>
      <w:pPr>
        <w:pStyle w:val="Normal"/>
        <w:rPr>
          <w:sz w:val="22"/>
          <w:szCs w:val="22"/>
        </w:rPr>
      </w:pPr>
      <w:r>
        <w:rPr>
          <w:sz w:val="22"/>
          <w:szCs w:val="22"/>
        </w:rPr>
      </w:r>
    </w:p>
    <w:p>
      <w:pPr>
        <w:pStyle w:val="Normal"/>
        <w:rPr>
          <w:sz w:val="22"/>
          <w:szCs w:val="22"/>
        </w:rPr>
      </w:pPr>
      <w:r>
        <w:rPr>
          <w:sz w:val="22"/>
          <w:szCs w:val="22"/>
        </w:rPr>
      </w:r>
    </w:p>
    <w:p>
      <w:pPr>
        <w:pStyle w:val="Normal"/>
        <w:rPr>
          <w:b/>
          <w:b/>
          <w:bCs/>
          <w:sz w:val="28"/>
          <w:szCs w:val="28"/>
        </w:rPr>
      </w:pPr>
      <w:r>
        <w:rPr>
          <w:b/>
          <w:bCs/>
          <w:sz w:val="28"/>
          <w:szCs w:val="28"/>
        </w:rPr>
        <w:t>Contact</w:t>
      </w:r>
    </w:p>
    <w:p>
      <w:pPr>
        <w:pStyle w:val="Normal"/>
        <w:rPr>
          <w:sz w:val="22"/>
          <w:szCs w:val="22"/>
        </w:rPr>
      </w:pPr>
      <w:r>
        <w:rPr>
          <w:sz w:val="22"/>
          <w:szCs w:val="22"/>
        </w:rPr>
        <w:t>Marta Kolonko</w:t>
      </w:r>
    </w:p>
    <w:p>
      <w:pPr>
        <w:pStyle w:val="Normal"/>
        <w:rPr>
          <w:sz w:val="22"/>
          <w:szCs w:val="22"/>
        </w:rPr>
      </w:pPr>
      <w:r>
        <w:rPr>
          <w:sz w:val="22"/>
          <w:szCs w:val="22"/>
        </w:rPr>
        <w:t>Marketing</w:t>
      </w:r>
    </w:p>
    <w:p>
      <w:pPr>
        <w:pStyle w:val="Normal"/>
        <w:rPr>
          <w:sz w:val="22"/>
          <w:szCs w:val="22"/>
        </w:rPr>
      </w:pPr>
      <w:r>
        <w:rPr>
          <w:sz w:val="22"/>
          <w:szCs w:val="22"/>
        </w:rPr>
        <w:t>Tel.: +49-30-1208820-0</w:t>
      </w:r>
    </w:p>
    <w:p>
      <w:pPr>
        <w:pStyle w:val="Normal"/>
        <w:rPr/>
      </w:pPr>
      <w:hyperlink r:id="rId7">
        <w:r>
          <w:rPr>
            <w:rStyle w:val="Internetverknpfung"/>
            <w:sz w:val="22"/>
            <w:szCs w:val="22"/>
          </w:rPr>
          <w:t>mkt@picoquant.com</w:t>
        </w:r>
      </w:hyperlink>
    </w:p>
    <w:p>
      <w:pPr>
        <w:pStyle w:val="Normal"/>
        <w:rPr/>
      </w:pPr>
      <w:r>
        <w:rPr>
          <w:sz w:val="22"/>
          <w:szCs w:val="22"/>
        </w:rPr>
        <w:t>www.picoquant.com</w:t>
      </w:r>
    </w:p>
    <w:sectPr>
      <w:type w:val="nextPage"/>
      <w:pgSz w:w="11906" w:h="16838"/>
      <w:pgMar w:left="1361" w:right="1361" w:header="0" w:top="1600" w:footer="0" w:bottom="1417" w:gutter="0"/>
      <w:pgNumType w:fmt="decimal"/>
      <w:formProt w:val="false"/>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Arial">
    <w:charset w:val="00"/>
    <w:family w:val="roman"/>
    <w:pitch w:val="variable"/>
  </w:font>
  <w:font w:name="Segoe UI">
    <w:charset w:val="00"/>
    <w:family w:val="roman"/>
    <w:pitch w:val="variable"/>
  </w:font>
  <w:font w:name="Arial">
    <w:altName w:val="sans-serif"/>
    <w:charset w:val="00"/>
    <w:family w:val="roman"/>
    <w:pitch w:val="variable"/>
  </w:font>
</w:fonts>
</file>

<file path=word/settings.xml><?xml version="1.0" encoding="utf-8"?>
<w:settings xmlns:w="http://schemas.openxmlformats.org/wordprocessingml/2006/main">
  <w:zoom w:percent="110"/>
  <w:defaultTabStop w:val="709"/>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themeFontLang w:val="de-DE" w:eastAsia="zh-CN"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Lucida Sans Unicode" w:cs="Tahoma"/>
        <w:szCs w:val="24"/>
        <w:lang w:val="en-US" w:eastAsia="zh-CN" w:bidi="hi-IN"/>
      </w:rPr>
    </w:rPrDefault>
    <w:pPrDefault>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pPr>
      <w:widowControl w:val="false"/>
      <w:bidi w:val="0"/>
      <w:jc w:val="left"/>
    </w:pPr>
    <w:rPr>
      <w:rFonts w:ascii="Arial" w:hAnsi="Arial" w:eastAsia="Lucida Sans Unicode" w:cs="Tahoma"/>
      <w:color w:val="00000A"/>
      <w:kern w:val="0"/>
      <w:sz w:val="24"/>
      <w:szCs w:val="24"/>
      <w:lang w:val="en-US" w:eastAsia="zh-CN" w:bidi="hi-IN"/>
    </w:rPr>
  </w:style>
  <w:style w:type="character" w:styleId="DefaultParagraphFont" w:default="1">
    <w:name w:val="Default Paragraph Font"/>
    <w:uiPriority w:val="1"/>
    <w:semiHidden/>
    <w:unhideWhenUsed/>
    <w:qFormat/>
    <w:rPr/>
  </w:style>
  <w:style w:type="character" w:styleId="Internetverknpfung" w:customStyle="1">
    <w:name w:val="Internetverknüpfung"/>
    <w:rPr>
      <w:color w:val="000080"/>
      <w:u w:val="single"/>
    </w:rPr>
  </w:style>
  <w:style w:type="character" w:styleId="SprechblasentextZchn" w:customStyle="1">
    <w:name w:val="Sprechblasentext Zchn"/>
    <w:basedOn w:val="DefaultParagraphFont"/>
    <w:link w:val="Sprechblasentext"/>
    <w:uiPriority w:val="99"/>
    <w:semiHidden/>
    <w:qFormat/>
    <w:rsid w:val="00f6680b"/>
    <w:rPr>
      <w:rFonts w:ascii="Segoe UI" w:hAnsi="Segoe UI" w:cs="Mangal"/>
      <w:sz w:val="18"/>
      <w:szCs w:val="16"/>
    </w:rPr>
  </w:style>
  <w:style w:type="paragraph" w:styleId="Berschrift" w:customStyle="1">
    <w:name w:val="Überschrift"/>
    <w:basedOn w:val="Normal"/>
    <w:next w:val="Textkrper"/>
    <w:qFormat/>
    <w:pPr>
      <w:keepNext w:val="true"/>
      <w:spacing w:before="240" w:after="120"/>
    </w:pPr>
    <w:rPr>
      <w:sz w:val="28"/>
      <w:szCs w:val="28"/>
    </w:rPr>
  </w:style>
  <w:style w:type="paragraph" w:styleId="Textkrper">
    <w:name w:val="Body Text"/>
    <w:basedOn w:val="Normal"/>
    <w:pPr>
      <w:spacing w:before="0" w:after="120"/>
    </w:pPr>
    <w:rPr/>
  </w:style>
  <w:style w:type="paragraph" w:styleId="Liste">
    <w:name w:val="List"/>
    <w:basedOn w:val="Textkrper"/>
    <w:pPr/>
    <w:rPr/>
  </w:style>
  <w:style w:type="paragraph" w:styleId="Beschriftung">
    <w:name w:val="Caption"/>
    <w:basedOn w:val="Normal"/>
    <w:qFormat/>
    <w:pPr>
      <w:suppressLineNumbers/>
      <w:spacing w:before="120" w:after="120"/>
    </w:pPr>
    <w:rPr>
      <w:rFonts w:cs="Arial"/>
      <w:i/>
      <w:iCs/>
      <w:sz w:val="24"/>
      <w:szCs w:val="24"/>
    </w:rPr>
  </w:style>
  <w:style w:type="paragraph" w:styleId="Verzeichnis" w:customStyle="1">
    <w:name w:val="Verzeichnis"/>
    <w:basedOn w:val="Normal"/>
    <w:qFormat/>
    <w:pPr>
      <w:suppressLineNumbers/>
    </w:pPr>
    <w:rPr/>
  </w:style>
  <w:style w:type="paragraph" w:styleId="Caption">
    <w:name w:val="caption"/>
    <w:basedOn w:val="Normal"/>
    <w:qFormat/>
    <w:pPr>
      <w:suppressLineNumbers/>
      <w:spacing w:before="120" w:after="120"/>
    </w:pPr>
    <w:rPr>
      <w:i/>
      <w:iCs/>
    </w:rPr>
  </w:style>
  <w:style w:type="paragraph" w:styleId="Kopfzeile">
    <w:name w:val="Header"/>
    <w:basedOn w:val="Normal"/>
    <w:pPr>
      <w:suppressLineNumbers/>
      <w:tabs>
        <w:tab w:val="center" w:pos="4819" w:leader="none"/>
        <w:tab w:val="right" w:pos="9638" w:leader="none"/>
      </w:tabs>
    </w:pPr>
    <w:rPr/>
  </w:style>
  <w:style w:type="paragraph" w:styleId="Fuzeile">
    <w:name w:val="Footer"/>
    <w:basedOn w:val="Normal"/>
    <w:pPr>
      <w:suppressLineNumbers/>
      <w:tabs>
        <w:tab w:val="center" w:pos="4819" w:leader="none"/>
        <w:tab w:val="right" w:pos="9638" w:leader="none"/>
      </w:tabs>
    </w:pPr>
    <w:rPr/>
  </w:style>
  <w:style w:type="paragraph" w:styleId="Tabelleninhalt" w:customStyle="1">
    <w:name w:val="Tabelleninhalt"/>
    <w:basedOn w:val="Textkrper"/>
    <w:qFormat/>
    <w:pPr>
      <w:suppressLineNumbers/>
    </w:pPr>
    <w:rPr/>
  </w:style>
  <w:style w:type="paragraph" w:styleId="BalloonText">
    <w:name w:val="Balloon Text"/>
    <w:basedOn w:val="Normal"/>
    <w:link w:val="SprechblasentextZchn"/>
    <w:uiPriority w:val="99"/>
    <w:semiHidden/>
    <w:unhideWhenUsed/>
    <w:qFormat/>
    <w:rsid w:val="00f6680b"/>
    <w:pPr/>
    <w:rPr>
      <w:rFonts w:ascii="Segoe UI" w:hAnsi="Segoe UI" w:cs="Mangal"/>
      <w:sz w:val="18"/>
      <w:szCs w:val="16"/>
    </w:rPr>
  </w:style>
  <w:style w:type="numbering" w:styleId="NoList" w:default="1">
    <w:name w:val="No List"/>
    <w:uiPriority w:val="99"/>
    <w:semiHidden/>
    <w:unhideWhenUsed/>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hyperlink" Target="mailto:mkt@picoquant.com" TargetMode="External"/><Relationship Id="rId8" Type="http://schemas.openxmlformats.org/officeDocument/2006/relationships/fontTable" Target="fontTable.xml"/><Relationship Id="rId9" Type="http://schemas.openxmlformats.org/officeDocument/2006/relationships/settings" Target="settings.xml"/><Relationship Id="rId10" Type="http://schemas.openxmlformats.org/officeDocument/2006/relationships/theme" Target="theme/theme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239</TotalTime>
  <Application>LibreOffice/5.4.7.2$Windows_x86 LibreOffice_project/c838ef25c16710f8838b1faec480ebba495259d0</Application>
  <Pages>2</Pages>
  <Words>414</Words>
  <Characters>2565</Characters>
  <CharactersWithSpaces>2964</CharactersWithSpaces>
  <Paragraphs>18</Paragraphs>
  <Company>Carl Zeiss AG</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2018-06-05T11:22:00Z</dcterms:created>
  <dc:creator>André Devaux</dc:creator>
  <dc:description/>
  <dc:language>de-DE</dc:language>
  <cp:lastModifiedBy>Marta Kolonko</cp:lastModifiedBy>
  <dcterms:modified xsi:type="dcterms:W3CDTF">2018-07-30T14:40:08Z</dcterms:modified>
  <cp:revision>4</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Carl Zeiss AG</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ScaleCrop">
    <vt:bool>0</vt:bool>
  </property>
  <property fmtid="{D5CDD505-2E9C-101B-9397-08002B2CF9AE}" pid="8" name="ShareDoc">
    <vt:bool>0</vt:bool>
  </property>
</Properties>
</file>