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Innovations by PicoQuant at LASER World of PHOTONICS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Highlights include a new green picosecond pulsed laser head, an expanded VisIR/VisUV laser platform line-up, and the FLIMbee galvo scanner add-on for the MicroTime 200</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left"/>
        <w:rPr/>
      </w:pPr>
      <w:r>
        <w:rPr>
          <w:b/>
          <w:bCs/>
          <w:sz w:val="22"/>
          <w:szCs w:val="22"/>
          <w:lang w:val="de-DE"/>
        </w:rPr>
        <w:t>Berlin (Germany),</w:t>
      </w:r>
      <w:r>
        <w:rPr>
          <w:b/>
          <w:bCs/>
          <w:color w:val="000000"/>
          <w:sz w:val="22"/>
          <w:szCs w:val="22"/>
          <w:lang w:val="de-DE"/>
        </w:rPr>
        <w:t xml:space="preserve"> </w:t>
      </w:r>
      <w:r>
        <w:rPr>
          <w:b/>
          <w:bCs/>
          <w:color w:val="000000"/>
          <w:sz w:val="22"/>
          <w:szCs w:val="22"/>
          <w:lang w:val="de-DE"/>
        </w:rPr>
        <w:t>4 May 2017</w:t>
      </w:r>
      <w:r>
        <w:rPr>
          <w:b/>
          <w:bCs/>
          <w:color w:val="000000"/>
          <w:sz w:val="22"/>
          <w:szCs w:val="22"/>
          <w:lang w:val="de-DE"/>
        </w:rPr>
        <w:t xml:space="preserve"> </w:t>
      </w:r>
      <w:r>
        <w:rPr>
          <w:b w:val="false"/>
          <w:bCs w:val="false"/>
          <w:color w:val="000000"/>
          <w:sz w:val="22"/>
          <w:szCs w:val="22"/>
          <w:lang w:val="de-DE"/>
        </w:rPr>
        <w:t xml:space="preserve">– </w:t>
      </w:r>
      <w:r>
        <w:rPr>
          <w:b w:val="false"/>
          <w:bCs w:val="false"/>
          <w:color w:val="000000"/>
          <w:sz w:val="22"/>
          <w:szCs w:val="22"/>
          <w:lang w:val="en-US" w:eastAsia="zh-CN" w:bidi="hi-IN"/>
        </w:rPr>
        <w:t>PicoQuant will showcase its latest laser innovations at  the LASER World of PHOTONICS Munich, Germany, from June 26-29, 2017. The highlights at this year’s exhibition include the green emitting fiber amplified laser head LDH-P-FA-560, several new modules from the VisIR/VisUV platform series, and the FLIMbee galvo scanner add-on for the MicroTime 200.</w:t>
      </w:r>
    </w:p>
    <w:p>
      <w:pPr>
        <w:pStyle w:val="Normal"/>
        <w:spacing w:lineRule="auto" w:line="300" w:before="0" w:after="113"/>
        <w:ind w:left="0" w:right="0" w:hanging="0"/>
        <w:jc w:val="left"/>
        <w:rPr/>
      </w:pPr>
      <w:r>
        <w:rPr>
          <w:b w:val="false"/>
          <w:bCs w:val="false"/>
          <w:color w:val="000000"/>
          <w:sz w:val="22"/>
          <w:szCs w:val="22"/>
          <w:lang w:val="en-US" w:eastAsia="zh-CN" w:bidi="hi-IN"/>
        </w:rPr>
        <w:t>The LDH-P-FA-560 delivers 560 nm light with average optical powers of more than 3 mW at a repetition rate of 40 MHhz and pulse widths down to 40 ps. This new laser is optimally suited for exciting molecular probes or fluorescent proteins commonly used in life science as well as  for applications in bioanalytics, biochemistry, genetics, semiconductor characterization, and quality control.</w:t>
      </w:r>
    </w:p>
    <w:p>
      <w:pPr>
        <w:pStyle w:val="Normal"/>
        <w:spacing w:lineRule="auto" w:line="300" w:before="0" w:after="113"/>
        <w:ind w:left="0" w:right="0" w:hanging="0"/>
        <w:jc w:val="left"/>
        <w:rPr/>
      </w:pPr>
      <w:r>
        <w:rPr>
          <w:b w:val="false"/>
          <w:bCs w:val="false"/>
          <w:color w:val="000000"/>
          <w:sz w:val="22"/>
          <w:szCs w:val="22"/>
          <w:lang w:val="en-US" w:eastAsia="zh-CN" w:bidi="hi-IN"/>
        </w:rPr>
        <w:t>The VisIR/VisUV platform line-up is rounded out by new modules VisUV-1064, VisUV-532-HP, VisIR-1530, and VisIR-1530-HP. They generate high-powered picosecond light pulses in the green (532 nm) or near infrared (1064 nm or 1531 nm) spectral range, which are well suited for applications requiring higher laser powers such as LIDAR or in-situ Raman spectroscopy.</w:t>
      </w:r>
    </w:p>
    <w:p>
      <w:pPr>
        <w:pStyle w:val="Normal"/>
        <w:spacing w:lineRule="auto" w:line="300" w:before="0" w:after="113"/>
        <w:ind w:left="0" w:right="0" w:hanging="0"/>
        <w:jc w:val="left"/>
        <w:rPr/>
      </w:pPr>
      <w:r>
        <w:rPr>
          <w:b w:val="false"/>
          <w:bCs w:val="false"/>
          <w:color w:val="000000"/>
          <w:sz w:val="22"/>
          <w:szCs w:val="22"/>
          <w:lang w:val="en-US" w:eastAsia="zh-CN" w:bidi="hi-IN"/>
        </w:rPr>
        <w:t>The FLIMbee galvo scanner add-on provides the MicroTime 200 time-resolved confocal microscope with an outstanding flexibility in scanning speed, ranging from very slow to fast, while maintaining excellent spatial precision. The fast scanning option enables imaging of quickly occurring changes in samples and of fast chemical or physical processes, while slower scanning speeds are optimal for applications such as Phosphorescence Lifetime Imaging (PLIM).</w:t>
      </w:r>
    </w:p>
    <w:p>
      <w:pPr>
        <w:pStyle w:val="Normal"/>
        <w:spacing w:lineRule="auto" w:line="300" w:before="0" w:after="113"/>
        <w:ind w:left="0" w:right="0" w:hanging="0"/>
        <w:jc w:val="left"/>
        <w:rPr/>
      </w:pPr>
      <w:r>
        <w:rPr>
          <w:b/>
          <w:bCs/>
          <w:color w:val="000000"/>
          <w:sz w:val="22"/>
          <w:szCs w:val="22"/>
          <w:lang w:val="en-US" w:eastAsia="zh-CN" w:bidi="hi-IN"/>
        </w:rPr>
        <w:t>Meet us at our booth #216, hall B2.</w:t>
      </w:r>
      <w:r>
        <w:rPr>
          <w:b w:val="false"/>
          <w:bCs w:val="false"/>
          <w:color w:val="000000"/>
          <w:sz w:val="22"/>
          <w:szCs w:val="22"/>
          <w:lang w:val="en-US" w:eastAsia="zh-CN" w:bidi="hi-IN"/>
        </w:rPr>
        <w:t xml:space="preserve"> </w:t>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pPr>
      <w:r>
        <w:rPr>
          <w:rFonts w:cs="Arial"/>
          <w:b w:val="false"/>
          <w:bCs w:val="false"/>
          <w:sz w:val="22"/>
          <w:szCs w:val="22"/>
          <w:lang w:val="en-US"/>
        </w:rPr>
        <w:t xml:space="preserve">PicoQuant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60 people. Since April 2008 Sales and Support in North America is handled by PicoQuant Photonics North America Inc.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pPr>
      <w:r>
        <w:rPr>
          <w:b w:val="false"/>
          <w:bCs w:val="false"/>
          <w:sz w:val="22"/>
          <w:szCs w:val="22"/>
          <w:lang w:val="de-DE"/>
        </w:rPr>
        <w:t>Picture of the new LDH-P-FA-560</w:t>
      </w:r>
    </w:p>
    <w:p>
      <w:pPr>
        <w:pStyle w:val="Normal"/>
        <w:spacing w:before="0" w:after="0"/>
        <w:ind w:left="0" w:right="0" w:hanging="0"/>
        <w:rPr/>
      </w:pPr>
      <w:r>
        <w:rPr>
          <w:b w:val="false"/>
          <w:bCs w:val="false"/>
          <w:sz w:val="22"/>
          <w:szCs w:val="22"/>
          <w:lang w:val="de-DE"/>
        </w:rPr>
        <w:t xml:space="preserve">Caption: </w:t>
      </w:r>
      <w:bookmarkStart w:id="0" w:name="__DdeLink__9952_2055347115"/>
      <w:bookmarkEnd w:id="0"/>
      <w:r>
        <w:rPr/>
        <w:t>PicoQuant’s new laser in the yellow-green range is optimally suited for exciting molecular probes or fluorescent proteins.</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drawing>
          <wp:anchor behindDoc="0" distT="0" distB="0" distL="0" distR="0" simplePos="0" locked="0" layoutInCell="1" allowOverlap="1" relativeHeight="4">
            <wp:simplePos x="0" y="0"/>
            <wp:positionH relativeFrom="column">
              <wp:posOffset>-10795</wp:posOffset>
            </wp:positionH>
            <wp:positionV relativeFrom="paragraph">
              <wp:posOffset>130810</wp:posOffset>
            </wp:positionV>
            <wp:extent cx="3046730" cy="1895475"/>
            <wp:effectExtent l="0" t="0" r="0" b="0"/>
            <wp:wrapSquare wrapText="largest"/>
            <wp:docPr id="3"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4" descr=""/>
                    <pic:cNvPicPr>
                      <a:picLocks noChangeAspect="1" noChangeArrowheads="1"/>
                    </pic:cNvPicPr>
                  </pic:nvPicPr>
                  <pic:blipFill>
                    <a:blip r:embed="rId4"/>
                    <a:stretch>
                      <a:fillRect/>
                    </a:stretch>
                  </pic:blipFill>
                  <pic:spPr bwMode="auto">
                    <a:xfrm>
                      <a:off x="0" y="0"/>
                      <a:ext cx="3046730" cy="1895475"/>
                    </a:xfrm>
                    <a:prstGeom prst="rect">
                      <a:avLst/>
                    </a:prstGeom>
                  </pic:spPr>
                </pic:pic>
              </a:graphicData>
            </a:graphic>
          </wp:anchor>
        </w:drawing>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rFonts w:ascii="Arial" w:hAnsi="Arial" w:cs="Arial"/>
          <w:b w:val="false"/>
          <w:b w:val="false"/>
          <w:bCs w:val="false"/>
          <w:sz w:val="22"/>
          <w:szCs w:val="22"/>
          <w:lang w:val="de-DE"/>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Tel.: +49-30-1208820-607</w:t>
      </w:r>
    </w:p>
    <w:p>
      <w:pPr>
        <w:pStyle w:val="Normal"/>
        <w:spacing w:before="0" w:after="0"/>
        <w:rPr/>
      </w:pPr>
      <w:hyperlink r:id="rId5">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s>
</file>

<file path=word/settings.xml><?xml version="1.0" encoding="utf-8"?>
<w:settings xmlns:w="http://schemas.openxmlformats.org/wordprocessingml/2006/main">
  <w:zoom w:percent="95"/>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00000A"/>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rPr>
      <w:color w:val="000080"/>
      <w:u w:val="single"/>
      <w:lang w:val="zxx" w:eastAsia="zxx" w:bidi="zxx"/>
    </w:rPr>
  </w:style>
  <w:style w:type="character" w:styleId="Starkbetont">
    <w:name w:val="Stark betont"/>
    <w:qFormat/>
    <w:rPr>
      <w:b/>
      <w:bCs/>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215</TotalTime>
  <Application>LibreOffice/5.1.6.2$Windows_X86_64 LibreOffice_project/07ac168c60a517dba0f0d7bc7540f5afa45f0909</Application>
  <Pages>2</Pages>
  <Words>395</Words>
  <Characters>2331</Characters>
  <CharactersWithSpaces>2713</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2017-05-04T09:10:06Z</dcterms:modified>
  <cp:revision>43</cp:revision>
  <dc:subject/>
  <dc:title/>
</cp:coreProperties>
</file>