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00" w:before="0" w:after="0"/>
        <w:ind w:left="0" w:right="0" w:hanging="0"/>
        <w:rPr>
          <w:rFonts w:ascii="Arial" w:hAnsi="Arial"/>
          <w:b/>
          <w:b/>
          <w:bCs/>
          <w:sz w:val="48"/>
          <w:szCs w:val="48"/>
          <w:lang w:val="en-US"/>
        </w:rPr>
      </w:pPr>
      <w:r>
        <w:rPr>
          <w:rFonts w:ascii="Arial" w:hAnsi="Arial"/>
          <w:b/>
          <w:bCs/>
          <w:sz w:val="48"/>
          <w:szCs w:val="48"/>
          <w:lang w:val="en-US"/>
        </w:rPr>
        <w:drawing>
          <wp:anchor behindDoc="0" distT="0" distB="0" distL="0" distR="0" simplePos="0" locked="0" layoutInCell="1" allowOverlap="1" relativeHeight="2">
            <wp:simplePos x="0" y="0"/>
            <wp:positionH relativeFrom="page">
              <wp:posOffset>5518150</wp:posOffset>
            </wp:positionH>
            <wp:positionV relativeFrom="page">
              <wp:posOffset>642620</wp:posOffset>
            </wp:positionV>
            <wp:extent cx="1167130" cy="1109345"/>
            <wp:effectExtent l="0" t="0" r="0" b="0"/>
            <wp:wrapNone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1109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00" w:before="0" w:after="0"/>
        <w:ind w:left="0" w:right="0" w:hanging="0"/>
        <w:rPr>
          <w:rFonts w:ascii="Arial" w:hAnsi="Arial"/>
          <w:b/>
          <w:b/>
          <w:bCs/>
          <w:sz w:val="48"/>
          <w:szCs w:val="48"/>
          <w:lang w:val="en-US"/>
        </w:rPr>
      </w:pPr>
      <w:r>
        <w:rPr>
          <w:rFonts w:ascii="Arial" w:hAnsi="Arial"/>
          <w:b/>
          <w:bCs/>
          <w:sz w:val="48"/>
          <w:szCs w:val="48"/>
          <w:lang w:val="en-US"/>
        </w:rPr>
        <w:t>Press Release</w:t>
      </w:r>
    </w:p>
    <w:p>
      <w:pPr>
        <w:pStyle w:val="Normal"/>
        <w:spacing w:lineRule="auto" w:line="300" w:before="0" w:after="0"/>
        <w:ind w:left="0" w:right="0" w:hanging="0"/>
        <w:rPr>
          <w:rFonts w:ascii="Arial" w:hAnsi="Arial"/>
          <w:b/>
          <w:b/>
          <w:bCs/>
          <w:sz w:val="28"/>
          <w:szCs w:val="28"/>
          <w:lang w:val="en-US"/>
        </w:rPr>
      </w:pPr>
      <w:r>
        <w:rPr>
          <w:rFonts w:ascii="Arial" w:hAnsi="Arial"/>
          <w:b/>
          <w:bCs/>
          <w:sz w:val="28"/>
          <w:szCs w:val="28"/>
          <w:lang w:val="en-US"/>
        </w:rPr>
      </w:r>
    </w:p>
    <w:p>
      <w:pPr>
        <w:pStyle w:val="Normal"/>
        <w:spacing w:lineRule="auto" w:line="300" w:before="0" w:after="0"/>
        <w:ind w:left="0" w:right="0" w:hanging="0"/>
        <w:rPr>
          <w:rFonts w:ascii="Arial" w:hAnsi="Arial"/>
          <w:b/>
          <w:b/>
          <w:bCs/>
          <w:sz w:val="28"/>
          <w:szCs w:val="28"/>
          <w:lang w:val="en-US"/>
        </w:rPr>
      </w:pPr>
      <w:r>
        <w:rPr>
          <w:rFonts w:ascii="Arial" w:hAnsi="Arial"/>
          <w:b/>
          <w:bCs/>
          <w:sz w:val="28"/>
          <w:szCs w:val="28"/>
          <w:lang w:val="en-US"/>
        </w:rPr>
      </w:r>
    </w:p>
    <w:p>
      <w:pPr>
        <w:pStyle w:val="Normal"/>
        <w:spacing w:lineRule="auto" w:line="300" w:before="0" w:after="0"/>
        <w:ind w:left="0" w:right="0" w:hanging="0"/>
        <w:rPr>
          <w:rFonts w:ascii="Arial" w:hAnsi="Arial"/>
          <w:b/>
          <w:b/>
          <w:bCs/>
          <w:sz w:val="28"/>
          <w:szCs w:val="28"/>
          <w:lang w:val="en-US"/>
        </w:rPr>
      </w:pPr>
      <w:r>
        <w:rPr>
          <w:rFonts w:ascii="Arial" w:hAnsi="Arial"/>
          <w:b/>
          <w:bCs/>
          <w:sz w:val="28"/>
          <w:szCs w:val="28"/>
          <w:lang w:val="en-US"/>
        </w:rPr>
      </w:r>
    </w:p>
    <w:p>
      <w:pPr>
        <w:pStyle w:val="Normal"/>
        <w:spacing w:lineRule="auto" w:line="300" w:before="0" w:after="0"/>
        <w:ind w:left="0" w:right="0" w:hanging="0"/>
        <w:rPr>
          <w:rFonts w:ascii="Arial" w:hAnsi="Arial"/>
          <w:b/>
          <w:b/>
          <w:bCs/>
          <w:sz w:val="28"/>
          <w:szCs w:val="28"/>
          <w:lang w:val="en-US"/>
        </w:rPr>
      </w:pPr>
      <w:r>
        <w:rPr>
          <w:rFonts w:ascii="Arial" w:hAnsi="Arial"/>
          <w:b/>
          <w:bCs/>
          <w:sz w:val="28"/>
          <w:szCs w:val="28"/>
          <w:lang w:val="en-US"/>
        </w:rPr>
      </w:r>
    </w:p>
    <w:p>
      <w:pPr>
        <w:pStyle w:val="Normal"/>
        <w:spacing w:lineRule="auto" w:line="300" w:before="0" w:after="0"/>
        <w:ind w:left="0" w:right="0" w:hanging="0"/>
        <w:rPr>
          <w:rFonts w:ascii="Arial" w:hAnsi="Arial"/>
          <w:b/>
          <w:b/>
          <w:bCs/>
          <w:sz w:val="28"/>
          <w:szCs w:val="28"/>
          <w:lang w:val="en-US"/>
        </w:rPr>
      </w:pPr>
      <w:r>
        <w:rPr>
          <w:rFonts w:ascii="Arial" w:hAnsi="Arial"/>
          <w:b/>
          <w:bCs/>
          <w:sz w:val="28"/>
          <w:szCs w:val="28"/>
          <w:lang w:val="en-US"/>
        </w:rPr>
        <w:t>PicoQuant expands its</w:t>
      </w:r>
      <w:r>
        <w:rPr>
          <w:rFonts w:ascii="Arial" w:hAnsi="Arial"/>
          <w:b/>
          <w:bCs/>
          <w:sz w:val="28"/>
          <w:szCs w:val="28"/>
          <w:lang w:val="en-US"/>
        </w:rPr>
        <w:t xml:space="preserve"> hybrid photomultiplier detector </w:t>
      </w:r>
      <w:r>
        <w:rPr>
          <w:rFonts w:ascii="Arial" w:hAnsi="Arial"/>
          <w:b/>
          <w:bCs/>
          <w:sz w:val="28"/>
          <w:szCs w:val="28"/>
          <w:lang w:val="en-US"/>
        </w:rPr>
        <w:t>line-up</w:t>
      </w:r>
    </w:p>
    <w:p>
      <w:pPr>
        <w:pStyle w:val="Normal"/>
        <w:spacing w:lineRule="auto" w:line="300" w:before="0" w:after="0"/>
        <w:ind w:left="0" w:right="0" w:hanging="0"/>
        <w:rPr>
          <w:rFonts w:ascii="Arial" w:hAnsi="Arial"/>
          <w:b/>
          <w:b/>
          <w:bCs/>
          <w:sz w:val="22"/>
          <w:szCs w:val="22"/>
          <w:lang w:val="en-US"/>
        </w:rPr>
      </w:pPr>
      <w:r>
        <w:rPr>
          <w:rFonts w:ascii="Arial" w:hAnsi="Arial"/>
          <w:b/>
          <w:bCs/>
          <w:sz w:val="22"/>
          <w:szCs w:val="22"/>
          <w:lang w:val="en-US"/>
        </w:rPr>
      </w:r>
    </w:p>
    <w:p>
      <w:pPr>
        <w:pStyle w:val="Normal"/>
        <w:spacing w:lineRule="auto" w:line="300" w:before="0" w:after="0"/>
        <w:ind w:left="0" w:right="0" w:hanging="0"/>
        <w:rPr>
          <w:rFonts w:ascii="Arial" w:hAnsi="Arial"/>
          <w:b/>
          <w:b/>
          <w:bCs/>
          <w:sz w:val="22"/>
          <w:szCs w:val="22"/>
          <w:lang w:val="en-US"/>
        </w:rPr>
      </w:pPr>
      <w:r>
        <w:rPr>
          <w:rFonts w:ascii="Arial" w:hAnsi="Arial"/>
          <w:b/>
          <w:bCs/>
          <w:sz w:val="22"/>
          <w:szCs w:val="22"/>
          <w:lang w:val="en-US"/>
        </w:rPr>
        <w:t>Two new models from the PMA Hybrid Series are now available, covering broad spectral ranges with excellent detection efficiency</w:t>
      </w:r>
    </w:p>
    <w:p>
      <w:pPr>
        <w:pStyle w:val="Normal"/>
        <w:spacing w:lineRule="auto" w:line="300" w:before="0" w:after="0"/>
        <w:ind w:left="0" w:right="0" w:hanging="0"/>
        <w:rPr>
          <w:rFonts w:ascii="Arial" w:hAnsi="Arial"/>
          <w:b/>
          <w:b/>
          <w:bCs/>
          <w:sz w:val="22"/>
          <w:szCs w:val="22"/>
          <w:lang w:val="en-US"/>
        </w:rPr>
      </w:pPr>
      <w:r>
        <w:rPr>
          <w:rFonts w:ascii="Arial" w:hAnsi="Arial"/>
          <w:b/>
          <w:bCs/>
          <w:sz w:val="22"/>
          <w:szCs w:val="22"/>
          <w:lang w:val="en-US"/>
        </w:rPr>
      </w:r>
    </w:p>
    <w:p>
      <w:pPr>
        <w:pStyle w:val="Normal"/>
        <w:spacing w:lineRule="auto" w:line="300" w:before="0" w:after="0"/>
        <w:ind w:left="0" w:right="0" w:hanging="0"/>
        <w:rPr>
          <w:rFonts w:ascii="Arial" w:hAnsi="Arial"/>
          <w:b/>
          <w:b/>
          <w:bCs/>
          <w:sz w:val="22"/>
          <w:szCs w:val="22"/>
          <w:lang w:val="en-US"/>
        </w:rPr>
      </w:pPr>
      <w:r>
        <w:rPr>
          <w:rFonts w:ascii="Arial" w:hAnsi="Arial"/>
          <w:b/>
          <w:bCs/>
          <w:sz w:val="22"/>
          <w:szCs w:val="22"/>
          <w:lang w:val="en-US"/>
        </w:rPr>
      </w:r>
    </w:p>
    <w:p>
      <w:pPr>
        <w:pStyle w:val="Normal"/>
        <w:spacing w:lineRule="auto" w:line="300" w:before="0" w:after="113"/>
        <w:ind w:left="0" w:right="0" w:hanging="0"/>
        <w:jc w:val="both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b/>
          <w:bCs/>
          <w:sz w:val="22"/>
          <w:szCs w:val="22"/>
          <w:lang w:val="en-US"/>
        </w:rPr>
        <w:t xml:space="preserve">Berlin (Germany), </w:t>
      </w:r>
      <w:r>
        <w:rPr>
          <w:rFonts w:ascii="Arial" w:hAnsi="Arial"/>
          <w:b/>
          <w:bCs/>
          <w:sz w:val="22"/>
          <w:szCs w:val="22"/>
          <w:lang w:val="en-US"/>
        </w:rPr>
        <w:t>12</w:t>
      </w:r>
      <w:r>
        <w:rPr>
          <w:rFonts w:ascii="Arial" w:hAnsi="Arial"/>
          <w:b/>
          <w:bCs/>
          <w:sz w:val="22"/>
          <w:szCs w:val="22"/>
          <w:lang w:val="en-US"/>
        </w:rPr>
        <w:t xml:space="preserve"> </w:t>
      </w:r>
      <w:r>
        <w:rPr>
          <w:rFonts w:ascii="Arial" w:hAnsi="Arial"/>
          <w:b/>
          <w:bCs/>
          <w:sz w:val="22"/>
          <w:szCs w:val="22"/>
          <w:lang w:val="en-US"/>
        </w:rPr>
        <w:t>April</w:t>
      </w:r>
      <w:r>
        <w:rPr>
          <w:rFonts w:ascii="Arial" w:hAnsi="Arial"/>
          <w:b/>
          <w:bCs/>
          <w:sz w:val="22"/>
          <w:szCs w:val="22"/>
          <w:lang w:val="en-US"/>
        </w:rPr>
        <w:t xml:space="preserve"> 2017</w:t>
      </w:r>
      <w:r>
        <w:rPr>
          <w:rFonts w:ascii="Arial" w:hAnsi="Arial"/>
          <w:b/>
          <w:bCs/>
          <w:sz w:val="22"/>
          <w:szCs w:val="22"/>
          <w:lang w:val="en-US"/>
        </w:rPr>
        <w:t xml:space="preserve">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–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PicoQuant has released two new single photon sensitive hybrid photo detector models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with excellent temporal resolution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for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>its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 PMA Hybrid Series: The PMA Hyb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>r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id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>42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 covers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the entire visible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range from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300 to 850 nm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with a detection efficiency of up to 20%. The PMA Hybrid 07 is sensitive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in the UV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>down to 220 nm with a maximum detection efficiency of up to 25%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and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>covers the whole visible spectrum.</w:t>
      </w:r>
    </w:p>
    <w:p>
      <w:pPr>
        <w:pStyle w:val="Normal"/>
        <w:suppressAutoHyphens w:val="false"/>
        <w:spacing w:lineRule="auto" w:line="300" w:before="0" w:after="113"/>
        <w:ind w:left="0" w:right="0" w:hanging="0"/>
        <w:jc w:val="both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 xml:space="preserve">Like all </w:t>
      </w:r>
      <w:r>
        <w:rPr>
          <w:rFonts w:ascii="Arial" w:hAnsi="Arial"/>
          <w:sz w:val="22"/>
          <w:szCs w:val="22"/>
          <w:lang w:val="en-US"/>
        </w:rPr>
        <w:t>detectors</w:t>
      </w:r>
      <w:r>
        <w:rPr>
          <w:rFonts w:ascii="Arial" w:hAnsi="Arial"/>
          <w:sz w:val="22"/>
          <w:szCs w:val="22"/>
          <w:lang w:val="en-US"/>
        </w:rPr>
        <w:t xml:space="preserve"> from the PMA Hybrid Series, the two new models are ideally suited for time-resolved spectroscopy and microscopy applications due to their </w:t>
      </w:r>
      <w:r>
        <w:rPr>
          <w:rFonts w:ascii="Arial" w:hAnsi="Arial"/>
          <w:sz w:val="22"/>
          <w:szCs w:val="22"/>
          <w:lang w:val="en-US"/>
        </w:rPr>
        <w:t xml:space="preserve">very good timing resolution, absence of afterpulsing and </w:t>
      </w:r>
      <w:r>
        <w:rPr>
          <w:rFonts w:ascii="Arial" w:hAnsi="Arial"/>
          <w:sz w:val="22"/>
          <w:szCs w:val="22"/>
          <w:lang w:val="en-US"/>
        </w:rPr>
        <w:t xml:space="preserve">extremely low dark counts. </w:t>
      </w:r>
      <w:r>
        <w:rPr>
          <w:rFonts w:ascii="Arial" w:hAnsi="Arial"/>
          <w:sz w:val="22"/>
          <w:szCs w:val="22"/>
          <w:lang w:val="en-US"/>
        </w:rPr>
        <w:t>The high overload shutdown threshold of the PMA Hybrid modules make them the detectors of choice for rapidFLIM, PicoQuant's ultra fast fluorescence lifetime imaging approach.</w:t>
      </w:r>
    </w:p>
    <w:p>
      <w:pPr>
        <w:pStyle w:val="Normal"/>
        <w:suppressAutoHyphens w:val="false"/>
        <w:spacing w:lineRule="auto" w:line="300" w:before="0" w:after="113"/>
        <w:ind w:left="0" w:right="0" w:hanging="0"/>
        <w:jc w:val="both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 xml:space="preserve">All detector assemblies from the PMA Hybrid Series are </w:t>
      </w:r>
      <w:r>
        <w:rPr>
          <w:rFonts w:ascii="Arial" w:hAnsi="Arial"/>
          <w:sz w:val="22"/>
          <w:szCs w:val="22"/>
          <w:lang w:val="en-US"/>
        </w:rPr>
        <w:t>ready-to-use modules with integrated Peltier cooling, which ensures performance independent from environmental laboratory conditions. As a special feature, these detectors have</w:t>
      </w:r>
      <w:r>
        <w:rPr>
          <w:rFonts w:ascii="Arial" w:hAnsi="Arial"/>
          <w:sz w:val="22"/>
          <w:szCs w:val="22"/>
          <w:lang w:val="en-US"/>
        </w:rPr>
        <w:t xml:space="preserve"> </w:t>
      </w:r>
      <w:r>
        <w:rPr>
          <w:rFonts w:ascii="Arial" w:hAnsi="Arial"/>
          <w:sz w:val="22"/>
          <w:szCs w:val="22"/>
          <w:lang w:val="en-US"/>
        </w:rPr>
        <w:t xml:space="preserve">two </w:t>
      </w:r>
      <w:r>
        <w:rPr>
          <w:rFonts w:ascii="Arial" w:hAnsi="Arial"/>
          <w:sz w:val="22"/>
          <w:szCs w:val="22"/>
          <w:lang w:val="en-US"/>
        </w:rPr>
        <w:t xml:space="preserve">signal outputs </w:t>
      </w:r>
      <w:r>
        <w:rPr>
          <w:rFonts w:ascii="Arial" w:hAnsi="Arial"/>
          <w:sz w:val="22"/>
          <w:szCs w:val="22"/>
          <w:lang w:val="en-US"/>
        </w:rPr>
        <w:t>with either</w:t>
      </w:r>
      <w:r>
        <w:rPr>
          <w:rFonts w:ascii="Arial" w:hAnsi="Arial"/>
          <w:sz w:val="22"/>
          <w:szCs w:val="22"/>
          <w:lang w:val="en-US"/>
        </w:rPr>
        <w:t xml:space="preserve"> a </w:t>
      </w:r>
      <w:r>
        <w:rPr>
          <w:rFonts w:ascii="Arial" w:hAnsi="Arial"/>
          <w:sz w:val="22"/>
          <w:szCs w:val="22"/>
          <w:lang w:val="en-US"/>
        </w:rPr>
        <w:t xml:space="preserve">negative </w:t>
      </w:r>
      <w:r>
        <w:rPr>
          <w:rFonts w:ascii="Arial" w:hAnsi="Arial"/>
          <w:sz w:val="22"/>
          <w:szCs w:val="22"/>
          <w:lang w:val="en-US"/>
        </w:rPr>
        <w:t xml:space="preserve">voltage pulse for timing and counting applications </w:t>
      </w:r>
      <w:r>
        <w:rPr>
          <w:rFonts w:ascii="Arial" w:hAnsi="Arial"/>
          <w:sz w:val="22"/>
          <w:szCs w:val="22"/>
          <w:lang w:val="en-US"/>
        </w:rPr>
        <w:t xml:space="preserve">and </w:t>
      </w:r>
      <w:r>
        <w:rPr>
          <w:rFonts w:ascii="Arial" w:hAnsi="Arial"/>
          <w:sz w:val="22"/>
          <w:szCs w:val="22"/>
          <w:lang w:val="en-US"/>
        </w:rPr>
        <w:t xml:space="preserve">an analog output voltage proportional to the count rate. </w:t>
      </w:r>
    </w:p>
    <w:p>
      <w:pPr>
        <w:pStyle w:val="Normal"/>
        <w:suppressAutoHyphens w:val="false"/>
        <w:spacing w:lineRule="auto" w:line="300" w:before="0" w:after="0"/>
        <w:ind w:left="0" w:right="0" w:hanging="0"/>
        <w:jc w:val="left"/>
        <w:rPr>
          <w:rFonts w:ascii="Arial" w:hAnsi="Arial"/>
          <w:b/>
          <w:b/>
          <w:bCs/>
          <w:sz w:val="28"/>
          <w:szCs w:val="28"/>
          <w:lang w:val="en-US"/>
        </w:rPr>
      </w:pPr>
      <w:r>
        <w:rPr>
          <w:rFonts w:ascii="Arial" w:hAnsi="Arial"/>
          <w:b/>
          <w:bCs/>
          <w:sz w:val="28"/>
          <w:szCs w:val="28"/>
          <w:lang w:val="en-US"/>
        </w:rPr>
      </w:r>
    </w:p>
    <w:p>
      <w:pPr>
        <w:pStyle w:val="Normal"/>
        <w:suppressAutoHyphens w:val="false"/>
        <w:spacing w:lineRule="auto" w:line="300" w:before="0" w:after="0"/>
        <w:ind w:left="0" w:right="0" w:hanging="0"/>
        <w:jc w:val="left"/>
        <w:rPr>
          <w:rFonts w:ascii="Arial" w:hAnsi="Arial"/>
          <w:b/>
          <w:b/>
          <w:bCs/>
          <w:sz w:val="28"/>
          <w:szCs w:val="28"/>
          <w:lang w:val="en-US"/>
        </w:rPr>
      </w:pPr>
      <w:r>
        <w:rPr>
          <w:rFonts w:ascii="Arial" w:hAnsi="Arial"/>
          <w:b/>
          <w:bCs/>
          <w:sz w:val="28"/>
          <w:szCs w:val="28"/>
          <w:lang w:val="en-US"/>
        </w:rPr>
      </w:r>
      <w:r>
        <w:br w:type="page"/>
      </w:r>
    </w:p>
    <w:p>
      <w:pPr>
        <w:pStyle w:val="Normal"/>
        <w:suppressAutoHyphens w:val="false"/>
        <w:spacing w:lineRule="auto" w:line="300" w:before="0" w:after="0"/>
        <w:ind w:left="0" w:right="0" w:hanging="0"/>
        <w:jc w:val="left"/>
        <w:rPr>
          <w:rFonts w:ascii="Arial" w:hAnsi="Arial"/>
          <w:b/>
          <w:b/>
          <w:bCs/>
          <w:sz w:val="28"/>
          <w:szCs w:val="28"/>
          <w:lang w:val="en-US"/>
        </w:rPr>
      </w:pPr>
      <w:r>
        <w:rPr>
          <w:rFonts w:ascii="Arial" w:hAnsi="Arial"/>
          <w:b/>
          <w:bCs/>
          <w:sz w:val="28"/>
          <w:szCs w:val="28"/>
          <w:lang w:val="en-US"/>
        </w:rPr>
        <w:drawing>
          <wp:anchor behindDoc="0" distT="0" distB="0" distL="0" distR="0" simplePos="0" locked="0" layoutInCell="1" allowOverlap="1" relativeHeight="3">
            <wp:simplePos x="0" y="0"/>
            <wp:positionH relativeFrom="page">
              <wp:posOffset>5518150</wp:posOffset>
            </wp:positionH>
            <wp:positionV relativeFrom="page">
              <wp:posOffset>642620</wp:posOffset>
            </wp:positionV>
            <wp:extent cx="1167130" cy="1109345"/>
            <wp:effectExtent l="0" t="0" r="0" b="0"/>
            <wp:wrapTopAndBottom/>
            <wp:docPr id="2" name="Bild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1109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uppressAutoHyphens w:val="false"/>
        <w:spacing w:lineRule="auto" w:line="300" w:before="0" w:after="0"/>
        <w:ind w:left="0" w:right="0" w:hanging="0"/>
        <w:jc w:val="left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b/>
          <w:bCs/>
          <w:sz w:val="28"/>
          <w:szCs w:val="28"/>
          <w:lang w:val="en-US"/>
        </w:rPr>
        <w:t>A</w:t>
      </w:r>
      <w:r>
        <w:rPr>
          <w:rFonts w:ascii="Arial" w:hAnsi="Arial"/>
          <w:b/>
          <w:bCs/>
          <w:sz w:val="28"/>
          <w:szCs w:val="28"/>
          <w:lang w:val="en-US"/>
        </w:rPr>
        <w:t>bout PicoQuant</w:t>
      </w:r>
    </w:p>
    <w:p>
      <w:pPr>
        <w:pStyle w:val="Normal"/>
        <w:spacing w:before="0" w:after="0"/>
        <w:ind w:left="0" w:right="0" w:hanging="0"/>
        <w:rPr>
          <w:rFonts w:ascii="Arial" w:hAnsi="Arial"/>
          <w:b w:val="false"/>
          <w:b w:val="false"/>
          <w:bCs w:val="false"/>
          <w:sz w:val="22"/>
          <w:szCs w:val="22"/>
          <w:lang w:val="en-US"/>
        </w:rPr>
      </w:pP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PicoQuant is a research and development company in the field of optoelectronics. The company was founded in 1996 and is based in the science and technology park Berlin-Adlershof, Germany. The company is a worldwide leader in the field of single photon counting applications. The product line includes pulsed diode lasers and LEDs, photon counting instrumentation, fluorescence lifetime spectrometers and time-resolved confocal microscopes. PicoQuant employs currently around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>6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0 people. Since April 2008 Sales and Support in North America is handled by PicoQuant Photonics North America Inc. </w:t>
      </w:r>
    </w:p>
    <w:p>
      <w:pPr>
        <w:pStyle w:val="Normal"/>
        <w:spacing w:before="0" w:after="0"/>
        <w:ind w:left="0" w:right="0" w:hanging="0"/>
        <w:rPr>
          <w:rFonts w:ascii="Arial" w:hAnsi="Arial"/>
          <w:b w:val="false"/>
          <w:b w:val="false"/>
          <w:bCs w:val="false"/>
          <w:sz w:val="22"/>
          <w:szCs w:val="22"/>
          <w:lang w:val="en-US"/>
        </w:rPr>
      </w:pPr>
      <w:r>
        <w:rPr>
          <w:rFonts w:ascii="Arial" w:hAnsi="Arial"/>
          <w:b w:val="false"/>
          <w:bCs w:val="false"/>
          <w:sz w:val="22"/>
          <w:szCs w:val="22"/>
          <w:lang w:val="en-US"/>
        </w:rPr>
      </w:r>
    </w:p>
    <w:p>
      <w:pPr>
        <w:pStyle w:val="Normal"/>
        <w:spacing w:before="0" w:after="0"/>
        <w:ind w:left="0" w:right="0" w:hanging="0"/>
        <w:rPr>
          <w:rFonts w:ascii="Arial" w:hAnsi="Arial"/>
          <w:b w:val="false"/>
          <w:b w:val="false"/>
          <w:bCs w:val="false"/>
          <w:sz w:val="22"/>
          <w:szCs w:val="22"/>
          <w:lang w:val="en-US"/>
        </w:rPr>
      </w:pPr>
      <w:r>
        <w:rPr>
          <w:rFonts w:ascii="Arial" w:hAnsi="Arial"/>
          <w:b w:val="false"/>
          <w:bCs w:val="false"/>
          <w:sz w:val="22"/>
          <w:szCs w:val="22"/>
          <w:lang w:val="en-US"/>
        </w:rPr>
      </w:r>
    </w:p>
    <w:p>
      <w:pPr>
        <w:pStyle w:val="Normal"/>
        <w:spacing w:before="0" w:after="0"/>
        <w:ind w:left="0" w:right="0" w:hanging="0"/>
        <w:rPr>
          <w:rFonts w:ascii="Arial" w:hAnsi="Arial"/>
          <w:b/>
          <w:b/>
          <w:bCs/>
          <w:sz w:val="28"/>
          <w:szCs w:val="28"/>
          <w:lang w:val="en-US"/>
        </w:rPr>
      </w:pPr>
      <w:r>
        <w:rPr>
          <w:rFonts w:ascii="Arial" w:hAnsi="Arial"/>
          <w:b/>
          <w:bCs/>
          <w:sz w:val="28"/>
          <w:szCs w:val="28"/>
          <w:lang w:val="en-US"/>
        </w:rPr>
        <w:t>Attachment</w:t>
      </w:r>
    </w:p>
    <w:p>
      <w:pPr>
        <w:pStyle w:val="Normal"/>
        <w:spacing w:before="0" w:after="0"/>
        <w:ind w:left="0" w:right="0" w:hanging="0"/>
        <w:rPr>
          <w:rFonts w:ascii="Arial" w:hAnsi="Arial"/>
          <w:b w:val="false"/>
          <w:b w:val="false"/>
          <w:bCs w:val="false"/>
          <w:sz w:val="22"/>
          <w:szCs w:val="22"/>
          <w:lang w:val="en-US"/>
        </w:rPr>
      </w:pP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Picture of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>a detector assembly from the PMA Hybrid Series</w:t>
      </w:r>
    </w:p>
    <w:p>
      <w:pPr>
        <w:pStyle w:val="Normal"/>
        <w:spacing w:before="0" w:after="0"/>
        <w:ind w:left="0" w:right="0" w:hanging="0"/>
        <w:rPr>
          <w:rFonts w:ascii="Arial" w:hAnsi="Arial"/>
          <w:b w:val="false"/>
          <w:b w:val="false"/>
          <w:bCs w:val="false"/>
          <w:sz w:val="22"/>
          <w:szCs w:val="22"/>
          <w:lang w:val="en-US"/>
        </w:rPr>
      </w:pP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Caption: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>PicoQuant’s new hybrid photomultiplier detectors s offer detection efficiencies of up to 25 %.</w:t>
      </w:r>
    </w:p>
    <w:p>
      <w:pPr>
        <w:pStyle w:val="Normal"/>
        <w:spacing w:before="0" w:after="0"/>
        <w:ind w:left="0" w:right="0" w:hanging="0"/>
        <w:rPr>
          <w:rFonts w:ascii="Arial" w:hAnsi="Arial"/>
          <w:b w:val="false"/>
          <w:b w:val="false"/>
          <w:bCs w:val="false"/>
          <w:sz w:val="22"/>
          <w:szCs w:val="22"/>
          <w:lang w:val="en-US"/>
        </w:rPr>
      </w:pPr>
      <w:r>
        <w:rPr>
          <w:rFonts w:ascii="Arial" w:hAnsi="Arial"/>
          <w:b w:val="false"/>
          <w:bCs w:val="false"/>
          <w:sz w:val="22"/>
          <w:szCs w:val="22"/>
          <w:lang w:val="en-US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1292860</wp:posOffset>
            </wp:positionH>
            <wp:positionV relativeFrom="paragraph">
              <wp:posOffset>69850</wp:posOffset>
            </wp:positionV>
            <wp:extent cx="2862580" cy="3131185"/>
            <wp:effectExtent l="0" t="0" r="0" b="0"/>
            <wp:wrapTopAndBottom/>
            <wp:docPr id="3" name="Bild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3131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ind w:left="0" w:right="0" w:hanging="0"/>
        <w:rPr>
          <w:rFonts w:ascii="Arial" w:hAnsi="Arial"/>
          <w:b w:val="false"/>
          <w:b w:val="false"/>
          <w:bCs w:val="false"/>
          <w:sz w:val="22"/>
          <w:szCs w:val="22"/>
          <w:lang w:val="en-US"/>
        </w:rPr>
      </w:pPr>
      <w:r>
        <w:rPr>
          <w:rFonts w:ascii="Arial" w:hAnsi="Arial"/>
          <w:b w:val="false"/>
          <w:bCs w:val="false"/>
          <w:sz w:val="22"/>
          <w:szCs w:val="22"/>
          <w:lang w:val="en-US"/>
        </w:rPr>
      </w:r>
    </w:p>
    <w:p>
      <w:pPr>
        <w:pStyle w:val="Normal"/>
        <w:spacing w:before="0" w:after="0"/>
        <w:ind w:left="0" w:right="0" w:hanging="0"/>
        <w:rPr>
          <w:rFonts w:ascii="Arial" w:hAnsi="Arial"/>
          <w:b/>
          <w:b/>
          <w:bCs/>
          <w:sz w:val="28"/>
          <w:szCs w:val="28"/>
          <w:lang w:val="en-US"/>
        </w:rPr>
      </w:pPr>
      <w:r>
        <w:rPr>
          <w:rFonts w:ascii="Arial" w:hAnsi="Arial"/>
          <w:b/>
          <w:bCs/>
          <w:sz w:val="28"/>
          <w:szCs w:val="28"/>
          <w:lang w:val="en-US"/>
        </w:rPr>
        <w:t>Contact</w:t>
      </w:r>
    </w:p>
    <w:p>
      <w:pPr>
        <w:pStyle w:val="Normal"/>
        <w:spacing w:before="0" w:after="0"/>
        <w:ind w:left="0" w:right="0" w:hanging="0"/>
        <w:rPr>
          <w:rFonts w:ascii="Arial" w:hAnsi="Arial"/>
          <w:b w:val="false"/>
          <w:b w:val="false"/>
          <w:bCs w:val="false"/>
          <w:sz w:val="22"/>
          <w:szCs w:val="22"/>
          <w:lang w:val="en-US"/>
        </w:rPr>
      </w:pPr>
      <w:r>
        <w:rPr>
          <w:rFonts w:ascii="Arial" w:hAnsi="Arial"/>
          <w:b w:val="false"/>
          <w:bCs w:val="false"/>
          <w:sz w:val="22"/>
          <w:szCs w:val="22"/>
          <w:lang w:val="en-US"/>
        </w:rPr>
        <w:t xml:space="preserve">Nicole 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>Saritas</w:t>
      </w:r>
    </w:p>
    <w:p>
      <w:pPr>
        <w:pStyle w:val="Normal"/>
        <w:spacing w:before="0" w:after="0"/>
        <w:ind w:left="0" w:right="0" w:hanging="0"/>
        <w:rPr>
          <w:rFonts w:ascii="Arial" w:hAnsi="Arial"/>
          <w:b w:val="false"/>
          <w:b w:val="false"/>
          <w:bCs w:val="false"/>
          <w:sz w:val="22"/>
          <w:szCs w:val="22"/>
          <w:lang w:val="en-US"/>
        </w:rPr>
      </w:pPr>
      <w:r>
        <w:rPr>
          <w:rFonts w:ascii="Arial" w:hAnsi="Arial"/>
          <w:b w:val="false"/>
          <w:bCs w:val="false"/>
          <w:sz w:val="22"/>
          <w:szCs w:val="22"/>
          <w:lang w:val="en-US"/>
        </w:rPr>
        <w:t>Marketing</w:t>
      </w:r>
    </w:p>
    <w:p>
      <w:pPr>
        <w:pStyle w:val="Normal"/>
        <w:spacing w:before="0" w:after="0"/>
        <w:ind w:left="0" w:right="0" w:hanging="0"/>
        <w:rPr>
          <w:rFonts w:ascii="Arial" w:hAnsi="Arial"/>
          <w:b w:val="false"/>
          <w:b w:val="false"/>
          <w:bCs w:val="false"/>
          <w:sz w:val="22"/>
          <w:szCs w:val="22"/>
          <w:lang w:val="en-US"/>
        </w:rPr>
      </w:pPr>
      <w:r>
        <w:rPr>
          <w:rFonts w:ascii="Arial" w:hAnsi="Arial"/>
          <w:b w:val="false"/>
          <w:bCs w:val="false"/>
          <w:sz w:val="22"/>
          <w:szCs w:val="22"/>
          <w:lang w:val="en-US"/>
        </w:rPr>
        <w:t>Tel.: +49-30-</w:t>
      </w:r>
      <w:r>
        <w:rPr>
          <w:rFonts w:ascii="Arial" w:hAnsi="Arial"/>
          <w:b w:val="false"/>
          <w:bCs w:val="false"/>
          <w:sz w:val="22"/>
          <w:szCs w:val="22"/>
          <w:lang w:val="en-US"/>
        </w:rPr>
        <w:t>1208820-0</w:t>
      </w:r>
    </w:p>
    <w:p>
      <w:pPr>
        <w:pStyle w:val="Normal"/>
        <w:spacing w:before="0" w:after="0"/>
        <w:ind w:left="0" w:right="0" w:hanging="0"/>
        <w:rPr>
          <w:rFonts w:ascii="Arial" w:hAnsi="Arial"/>
          <w:sz w:val="22"/>
          <w:szCs w:val="22"/>
          <w:lang w:val="de-DE"/>
        </w:rPr>
      </w:pPr>
      <w:hyperlink r:id="rId5">
        <w:r>
          <w:rPr>
            <w:rStyle w:val="Internetlink"/>
            <w:rFonts w:ascii="Arial" w:hAnsi="Arial"/>
            <w:sz w:val="22"/>
            <w:szCs w:val="22"/>
            <w:lang w:val="en-US"/>
          </w:rPr>
          <w:t>mkt@picoquant.com</w:t>
        </w:r>
      </w:hyperlink>
    </w:p>
    <w:p>
      <w:pPr>
        <w:pStyle w:val="Normal"/>
        <w:spacing w:before="0" w:after="0"/>
        <w:ind w:left="0" w:right="0" w:hanging="0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www.picoquant.com</w:t>
      </w:r>
    </w:p>
    <w:sectPr>
      <w:type w:val="nextPage"/>
      <w:pgSz w:w="11906" w:h="16838"/>
      <w:pgMar w:left="1361" w:right="1361" w:header="0" w:top="1600" w:footer="0" w:bottom="141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Lucida Sans Unicode" w:cs="Tahoma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Arial" w:hAnsi="Arial" w:eastAsia="Lucida Sans Unicode" w:cs="Tahoma"/>
      <w:color w:val="auto"/>
      <w:sz w:val="24"/>
      <w:szCs w:val="24"/>
      <w:lang w:val="en-US" w:eastAsia="zh-CN" w:bidi="hi-IN"/>
    </w:rPr>
  </w:style>
  <w:style w:type="character" w:styleId="Internetlink">
    <w:name w:val="Internetlink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Textkrper">
    <w:name w:val="Textkörper"/>
    <w:basedOn w:val="Normal"/>
    <w:pPr>
      <w:spacing w:before="0" w:after="120"/>
    </w:pPr>
    <w:rPr/>
  </w:style>
  <w:style w:type="paragraph" w:styleId="Liste">
    <w:name w:val="Liste"/>
    <w:basedOn w:val="Textkrper"/>
    <w:pPr/>
    <w:rPr>
      <w:rFonts w:ascii="Arial" w:hAnsi="Arial" w:cs="Tahoma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Arial" w:hAnsi="Arial" w:cs="Tahoma"/>
    </w:rPr>
  </w:style>
  <w:style w:type="paragraph" w:styleId="Kopfzeile">
    <w:name w:val="Kopfzeile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Fuzeile">
    <w:name w:val="Fußzeile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TabellenInhalt">
    <w:name w:val="Tabellen Inhalt"/>
    <w:basedOn w:val="Textkrper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hyperlink" Target="mailto:mkt@picoquant.com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361</TotalTime>
  <Application>LibreOffice/5.0.5.2$Windows_x86 LibreOffice_project/55b006a02d247b5f7215fc6ea0fde844b30035b3</Application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2017-03-31T11:58:04Z</dcterms:created>
  <dc:creator>André Devaux</dc:creator>
  <dc:language>de-DE</dc:language>
  <cp:lastModifiedBy>André Devaux</cp:lastModifiedBy>
  <cp:lastPrinted>2017-04-03T09:23:56Z</cp:lastPrinted>
  <dcterms:modified xsi:type="dcterms:W3CDTF">2017-04-12T10:35:37Z</dcterms:modified>
  <cp:revision>21</cp:revision>
</cp:coreProperties>
</file>