
<file path=[Content_Types].xml><?xml version="1.0" encoding="utf-8"?>
<Types xmlns="http://schemas.openxmlformats.org/package/2006/content-types">
  <Override PartName="/_rels/.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2.xml" ContentType="application/vnd.openxmlformats-officedocument.wordprocessingml.footer+xml"/>
  <Override PartName="/word/media/image2.png" ContentType="image/png"/>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lineRule="auto" w:line="300" w:before="0" w:after="0"/>
        <w:ind w:left="0" w:right="0" w:hanging="0"/>
        <w:rPr>
          <w:b/>
          <w:bCs/>
          <w:sz w:val="28"/>
          <w:szCs w:val="28"/>
        </w:rPr>
      </w:pPr>
      <w:r>
        <w:rPr>
          <w:b/>
          <w:bCs/>
          <w:sz w:val="28"/>
          <w:szCs w:val="28"/>
        </w:rPr>
      </w:r>
    </w:p>
    <w:p>
      <w:pPr>
        <w:pStyle w:val="Normal"/>
        <w:spacing w:lineRule="atLeast" w:line="100" w:before="0" w:after="0"/>
        <w:ind w:left="0" w:right="0" w:hanging="0"/>
        <w:rPr/>
      </w:pPr>
      <w:r>
        <w:rPr/>
      </w:r>
    </w:p>
    <w:p>
      <w:pPr>
        <w:pStyle w:val="Normal"/>
        <w:spacing w:lineRule="auto" w:line="300" w:before="0" w:after="0"/>
        <w:ind w:left="0" w:right="0" w:hanging="0"/>
        <w:rPr>
          <w:b/>
          <w:bCs/>
          <w:color w:val="000000"/>
          <w:sz w:val="28"/>
          <w:szCs w:val="28"/>
        </w:rPr>
      </w:pPr>
      <w:r>
        <w:rPr>
          <w:b/>
          <w:bCs/>
          <w:color w:val="000000"/>
          <w:sz w:val="28"/>
          <w:szCs w:val="28"/>
        </w:rPr>
      </w:r>
    </w:p>
    <w:p>
      <w:pPr>
        <w:pStyle w:val="Normal"/>
        <w:spacing w:lineRule="auto" w:line="300" w:before="0" w:after="0"/>
        <w:ind w:left="0" w:right="0" w:hanging="0"/>
        <w:rPr>
          <w:b/>
          <w:bCs/>
          <w:color w:val="000000"/>
          <w:sz w:val="28"/>
          <w:szCs w:val="28"/>
        </w:rPr>
      </w:pPr>
      <w:r>
        <w:rPr>
          <w:b/>
          <w:bCs/>
          <w:color w:val="000000"/>
          <w:sz w:val="28"/>
          <w:szCs w:val="28"/>
        </w:rPr>
      </w:r>
    </w:p>
    <w:p>
      <w:pPr>
        <w:pStyle w:val="Normal"/>
        <w:spacing w:lineRule="auto" w:line="300" w:before="0" w:after="0"/>
        <w:ind w:left="0" w:right="0" w:hanging="0"/>
        <w:rPr>
          <w:b/>
          <w:bCs/>
          <w:color w:val="000000"/>
          <w:sz w:val="28"/>
          <w:szCs w:val="28"/>
        </w:rPr>
      </w:pPr>
      <w:r>
        <w:rPr>
          <w:b/>
          <w:bCs/>
          <w:color w:val="000000"/>
          <w:sz w:val="28"/>
          <w:szCs w:val="28"/>
        </w:rPr>
      </w:r>
    </w:p>
    <w:p>
      <w:pPr>
        <w:pStyle w:val="Normal"/>
        <w:spacing w:lineRule="auto" w:line="300" w:before="0" w:after="0"/>
        <w:ind w:left="0" w:right="0" w:hanging="0"/>
        <w:rPr>
          <w:b/>
          <w:bCs/>
          <w:sz w:val="22"/>
          <w:szCs w:val="22"/>
          <w:lang w:val="en-US"/>
        </w:rPr>
      </w:pPr>
      <w:r>
        <w:rPr>
          <w:b/>
          <w:bCs/>
          <w:sz w:val="22"/>
          <w:szCs w:val="22"/>
          <w:lang w:val="en-US"/>
        </w:rPr>
      </w:r>
    </w:p>
    <w:p>
      <w:pPr>
        <w:pStyle w:val="Normal"/>
        <w:spacing w:lineRule="auto" w:line="300" w:before="0" w:after="0"/>
        <w:ind w:left="0" w:right="0" w:hanging="0"/>
        <w:rPr>
          <w:b/>
          <w:bCs/>
          <w:sz w:val="28"/>
          <w:szCs w:val="28"/>
          <w:lang w:val="en-US"/>
        </w:rPr>
      </w:pPr>
      <w:r>
        <w:rPr>
          <w:b/>
          <w:bCs/>
          <w:sz w:val="28"/>
          <w:szCs w:val="28"/>
          <w:lang w:val="en-US"/>
        </w:rPr>
        <w:t>PicoQuant releases STED add-on for the time-resolved confocal microscope MicroTime 200</w:t>
      </w:r>
    </w:p>
    <w:p>
      <w:pPr>
        <w:pStyle w:val="Normal"/>
        <w:spacing w:lineRule="auto" w:line="300" w:before="0" w:after="0"/>
        <w:ind w:left="0" w:right="0" w:hanging="0"/>
        <w:rPr>
          <w:b/>
          <w:bCs/>
          <w:sz w:val="22"/>
          <w:szCs w:val="22"/>
          <w:lang w:val="en-US"/>
        </w:rPr>
      </w:pPr>
      <w:r>
        <w:rPr>
          <w:b/>
          <w:bCs/>
          <w:sz w:val="22"/>
          <w:szCs w:val="22"/>
          <w:lang w:val="en-US"/>
        </w:rPr>
      </w:r>
    </w:p>
    <w:p>
      <w:pPr>
        <w:pStyle w:val="Normal"/>
        <w:spacing w:lineRule="auto" w:line="300" w:before="0" w:after="0"/>
        <w:ind w:left="0" w:right="0" w:hanging="0"/>
        <w:rPr>
          <w:b/>
          <w:bCs/>
          <w:sz w:val="22"/>
          <w:szCs w:val="22"/>
          <w:lang w:val="en-US"/>
        </w:rPr>
      </w:pPr>
      <w:r>
        <w:rPr>
          <w:b/>
          <w:bCs/>
          <w:sz w:val="22"/>
          <w:szCs w:val="22"/>
          <w:lang w:val="en-US"/>
        </w:rPr>
        <w:t>The new MicroTime 200 STED reaches super-resolution below 50 nm</w:t>
      </w:r>
    </w:p>
    <w:p>
      <w:pPr>
        <w:pStyle w:val="Normal"/>
        <w:spacing w:lineRule="auto" w:line="300" w:before="0" w:after="0"/>
        <w:ind w:left="0" w:right="0" w:hanging="0"/>
        <w:rPr>
          <w:b/>
          <w:bCs/>
          <w:sz w:val="22"/>
          <w:szCs w:val="22"/>
          <w:lang w:val="en-US"/>
        </w:rPr>
      </w:pPr>
      <w:r>
        <w:rPr>
          <w:b/>
          <w:bCs/>
          <w:sz w:val="22"/>
          <w:szCs w:val="22"/>
          <w:lang w:val="en-US"/>
        </w:rPr>
      </w:r>
    </w:p>
    <w:p>
      <w:pPr>
        <w:pStyle w:val="Normal"/>
        <w:spacing w:lineRule="auto" w:line="300" w:before="0" w:after="0"/>
        <w:ind w:left="0" w:right="0" w:hanging="0"/>
        <w:rPr>
          <w:b/>
          <w:bCs/>
          <w:sz w:val="22"/>
          <w:szCs w:val="22"/>
          <w:lang w:val="en-US"/>
        </w:rPr>
      </w:pPr>
      <w:r>
        <w:rPr>
          <w:b/>
          <w:bCs/>
          <w:sz w:val="22"/>
          <w:szCs w:val="22"/>
          <w:lang w:val="en-US"/>
        </w:rPr>
      </w:r>
    </w:p>
    <w:p>
      <w:pPr>
        <w:pStyle w:val="Normal"/>
        <w:spacing w:lineRule="auto" w:line="300" w:before="0" w:after="0"/>
        <w:ind w:left="0" w:right="0" w:hanging="0"/>
        <w:rPr>
          <w:b w:val="false"/>
          <w:bCs w:val="false"/>
          <w:color w:val="000000"/>
          <w:sz w:val="22"/>
          <w:szCs w:val="22"/>
          <w:u w:val="none"/>
          <w:shd w:fill="FFFFFF" w:val="clear"/>
          <w:lang w:val="en-US" w:eastAsia="de-DE" w:bidi="zxx"/>
        </w:rPr>
      </w:pPr>
      <w:r>
        <w:rPr>
          <w:b/>
          <w:bCs/>
          <w:sz w:val="22"/>
          <w:szCs w:val="22"/>
          <w:lang w:val="en-US"/>
        </w:rPr>
        <w:t>Berlin (Germany), 5 September</w:t>
      </w:r>
      <w:r>
        <w:rPr>
          <w:b/>
          <w:bCs/>
          <w:color w:val="000000"/>
          <w:sz w:val="22"/>
          <w:szCs w:val="22"/>
          <w:shd w:fill="FFFFFF" w:val="clear"/>
          <w:lang w:val="en-US"/>
        </w:rPr>
        <w:t xml:space="preserve"> 2014 </w:t>
      </w:r>
      <w:r>
        <w:rPr>
          <w:b w:val="false"/>
          <w:bCs w:val="false"/>
          <w:color w:val="000000"/>
          <w:sz w:val="22"/>
          <w:szCs w:val="22"/>
          <w:shd w:fill="FFFFFF" w:val="clear"/>
          <w:lang w:val="en-US"/>
        </w:rPr>
        <w:t xml:space="preserve">– </w:t>
      </w:r>
      <w:r>
        <w:rPr>
          <w:b w:val="false"/>
          <w:bCs w:val="false"/>
          <w:color w:val="000000"/>
          <w:sz w:val="22"/>
          <w:szCs w:val="22"/>
          <w:u w:val="none"/>
          <w:shd w:fill="FFFFFF" w:val="clear"/>
          <w:lang w:val="en-US" w:eastAsia="de-DE" w:bidi="zxx"/>
        </w:rPr>
        <w:t>PicoQuant has released a STED (stimulated emission depletion) add-on for the time-resolved confocal microscope MicroTime 200. This new super-resolution extension allows the MicroTime 200 to perform measurements that break the diffraction limit of light reaching lateral resolutions below 50 nm.</w:t>
      </w:r>
    </w:p>
    <w:p>
      <w:pPr>
        <w:pStyle w:val="Normal"/>
        <w:spacing w:lineRule="auto" w:line="300" w:before="0" w:after="0"/>
        <w:ind w:left="0" w:right="0" w:hanging="0"/>
        <w:rPr/>
      </w:pPr>
      <w:r>
        <w:rPr/>
      </w:r>
    </w:p>
    <w:p>
      <w:pPr>
        <w:pStyle w:val="Normal"/>
        <w:spacing w:lineRule="auto" w:line="300" w:before="0" w:after="0"/>
        <w:ind w:left="0" w:right="0" w:hanging="0"/>
        <w:rPr>
          <w:b w:val="false"/>
          <w:bCs w:val="false"/>
          <w:color w:val="000000"/>
          <w:sz w:val="22"/>
          <w:szCs w:val="22"/>
          <w:u w:val="none"/>
          <w:shd w:fill="FFFFFF" w:val="clear"/>
          <w:lang w:val="en-US" w:eastAsia="de-DE" w:bidi="zxx"/>
        </w:rPr>
      </w:pPr>
      <w:r>
        <w:rPr>
          <w:b w:val="false"/>
          <w:bCs w:val="false"/>
          <w:color w:val="000000"/>
          <w:sz w:val="22"/>
          <w:szCs w:val="22"/>
          <w:u w:val="none"/>
          <w:shd w:fill="FFFFFF" w:val="clear"/>
          <w:lang w:val="en-US" w:eastAsia="de-DE" w:bidi="zxx"/>
        </w:rPr>
        <w:t xml:space="preserve">The STED add-on for the MicroTime 200 is based on the easy-STED pinciple. Excitation and STED laser are first coupled through a common fiber to ensure perfect alignment and shape of the beams. An optical element then changes the STED laser focus to the required donut-shape, while leaving the excitation laser unaffected. This simple implementation makes spatial alignment of the two laser beams unnecessary. Gated STED in which the excitation laser and detection is pulsed and synchronised and the STED depletion is continuous is also supported by the MicroTime 200 STED to enhance resolution in images even more. Test users of the new STED add-on appreciate the easy concept in a microscope that is still accessible by the researcher and open for modification. “This is simple super-resolution microscopy: We attached a STED-dye with click-chemistry and got impressive high resolution images of the E. coli chromosome,” says Mike Heilemann, professor at the Goethe-University Frankfurt. </w:t>
      </w:r>
    </w:p>
    <w:p>
      <w:pPr>
        <w:pStyle w:val="Normal"/>
        <w:spacing w:lineRule="auto" w:line="300" w:before="0" w:after="0"/>
        <w:ind w:left="0" w:right="0" w:hanging="0"/>
        <w:rPr/>
      </w:pPr>
      <w:r>
        <w:rPr/>
      </w:r>
    </w:p>
    <w:p>
      <w:pPr>
        <w:pStyle w:val="Normal"/>
        <w:spacing w:lineRule="auto" w:line="300" w:before="0" w:after="0"/>
        <w:ind w:left="0" w:right="0" w:hanging="0"/>
        <w:rPr>
          <w:b w:val="false"/>
          <w:bCs w:val="false"/>
          <w:color w:val="000000"/>
          <w:sz w:val="22"/>
          <w:szCs w:val="22"/>
          <w:u w:val="none"/>
          <w:shd w:fill="FFFFFF" w:val="clear"/>
          <w:lang w:val="en-US" w:eastAsia="de-DE" w:bidi="zxx"/>
        </w:rPr>
      </w:pPr>
      <w:r>
        <w:rPr>
          <w:b w:val="false"/>
          <w:bCs w:val="false"/>
          <w:color w:val="000000"/>
          <w:sz w:val="22"/>
          <w:szCs w:val="22"/>
          <w:u w:val="none"/>
          <w:shd w:fill="FFFFFF" w:val="clear"/>
          <w:lang w:val="en-US" w:eastAsia="de-DE" w:bidi="zxx"/>
        </w:rPr>
        <w:t>The STED add-on also extends the FCS (Fluorescence Correlation Spectroscopy) capabilities of the MicroTime 200 as it influences the effective observation volume. This allows to perform FCS at higher fluorophore concentrations as well as helps to disentangle complex 2D diffusion scenarios in heterogeneous samples such as biological membranes.</w:t>
      </w:r>
    </w:p>
    <w:p>
      <w:pPr>
        <w:pStyle w:val="Normal"/>
        <w:spacing w:lineRule="auto" w:line="300" w:before="0" w:after="0"/>
        <w:ind w:left="0" w:right="0" w:hanging="0"/>
        <w:rPr/>
      </w:pPr>
      <w:r>
        <w:rPr/>
      </w:r>
    </w:p>
    <w:p>
      <w:pPr>
        <w:pStyle w:val="Normal"/>
        <w:spacing w:lineRule="auto" w:line="300" w:before="0" w:after="0"/>
        <w:ind w:left="0" w:right="0" w:hanging="0"/>
        <w:rPr>
          <w:b w:val="false"/>
          <w:bCs w:val="false"/>
          <w:color w:val="000000"/>
          <w:sz w:val="22"/>
          <w:szCs w:val="22"/>
          <w:u w:val="none"/>
          <w:shd w:fill="FFFFFF" w:val="clear"/>
          <w:lang w:val="en-US" w:eastAsia="de-DE" w:bidi="zxx"/>
        </w:rPr>
      </w:pPr>
      <w:r>
        <w:rPr>
          <w:b w:val="false"/>
          <w:bCs w:val="false"/>
          <w:color w:val="000000"/>
          <w:sz w:val="22"/>
          <w:szCs w:val="22"/>
          <w:u w:val="none"/>
          <w:shd w:fill="FFFFFF" w:val="clear"/>
          <w:lang w:val="en-US" w:eastAsia="de-DE" w:bidi="zxx"/>
        </w:rPr>
        <w:t>The STED microscope was demonstrated to the public for the first time during the 20th anniversary of PicoQuant's International Single Molecule Workshop which took place on September 2-5, 2014 in Berlin, Germany. During the workshop, many scientists from all over the world exchanged ideas and discussed new strategies for their research. The new STED add-on was the topic of lively discussions, and the enhanced optical resolution was well appreciated.</w:t>
      </w:r>
    </w:p>
    <w:p>
      <w:pPr>
        <w:pStyle w:val="Normal"/>
        <w:spacing w:lineRule="auto" w:line="300" w:before="0" w:after="0"/>
        <w:ind w:left="0" w:right="0" w:hanging="0"/>
        <w:rPr/>
      </w:pPr>
      <w:r>
        <w:rPr/>
      </w:r>
    </w:p>
    <w:p>
      <w:pPr>
        <w:pStyle w:val="Normal"/>
        <w:spacing w:lineRule="auto" w:line="300" w:before="0" w:after="0"/>
        <w:ind w:left="0" w:right="0" w:hanging="0"/>
        <w:rPr>
          <w:b w:val="false"/>
          <w:bCs w:val="false"/>
          <w:color w:val="000000"/>
          <w:sz w:val="22"/>
          <w:szCs w:val="22"/>
          <w:u w:val="none"/>
          <w:shd w:fill="FFFFFF" w:val="clear"/>
          <w:lang w:val="en-US" w:eastAsia="de-DE" w:bidi="zxx"/>
        </w:rPr>
      </w:pPr>
      <w:bookmarkStart w:id="0" w:name="__DdeLink__168_1054254580"/>
      <w:bookmarkEnd w:id="0"/>
      <w:r>
        <w:rPr>
          <w:b w:val="false"/>
          <w:bCs w:val="false"/>
          <w:color w:val="000000"/>
          <w:sz w:val="22"/>
          <w:szCs w:val="22"/>
          <w:u w:val="none"/>
          <w:shd w:fill="FFFFFF" w:val="clear"/>
          <w:lang w:val="en-US" w:eastAsia="de-DE" w:bidi="zxx"/>
        </w:rPr>
        <w:t xml:space="preserve">The MicroTime 200 is a versatile FLIM and FCS platform that enables the user to perform fluorescence lifetime, fluorescence correlations, and imaging measurements. The high timing accuracy is based on PicoQuant's unique TCSPC electronics and fast detectors. As an open platform, the MicroTime 200 can be combined with other devices such as a spectrometer or an AFM, allowing for extremely sensitive multidimensional data acquisition. </w:t>
      </w:r>
    </w:p>
    <w:p>
      <w:pPr>
        <w:pStyle w:val="Normal"/>
        <w:spacing w:lineRule="auto" w:line="300" w:before="0" w:after="0"/>
        <w:ind w:left="0" w:right="0" w:hanging="0"/>
        <w:rPr>
          <w:b/>
          <w:bCs/>
          <w:sz w:val="22"/>
          <w:szCs w:val="22"/>
          <w:lang w:val="de-DE"/>
        </w:rPr>
      </w:pPr>
      <w:bookmarkStart w:id="1" w:name="__DdeLink__168_10542545801"/>
      <w:bookmarkStart w:id="2" w:name="__DdeLink__168_10542545801"/>
      <w:bookmarkEnd w:id="2"/>
      <w:r>
        <w:rPr>
          <w:b/>
          <w:bCs/>
          <w:sz w:val="22"/>
          <w:szCs w:val="22"/>
          <w:lang w:val="de-DE"/>
        </w:rPr>
      </w:r>
    </w:p>
    <w:p>
      <w:pPr>
        <w:pStyle w:val="Normal"/>
        <w:spacing w:before="0" w:after="0"/>
        <w:ind w:left="0" w:right="0" w:hanging="0"/>
        <w:rPr>
          <w:b/>
          <w:bCs/>
          <w:sz w:val="22"/>
          <w:szCs w:val="22"/>
          <w:lang w:val="de-DE"/>
        </w:rPr>
      </w:pPr>
      <w:r>
        <w:rPr>
          <w:b/>
          <w:bCs/>
          <w:sz w:val="22"/>
          <w:szCs w:val="22"/>
          <w:lang w:val="de-DE"/>
        </w:rPr>
      </w:r>
    </w:p>
    <w:p>
      <w:pPr>
        <w:pStyle w:val="Normal"/>
        <w:spacing w:before="0" w:after="0"/>
        <w:ind w:left="0" w:right="0" w:hanging="0"/>
        <w:rPr>
          <w:b/>
          <w:bCs/>
          <w:sz w:val="22"/>
          <w:szCs w:val="22"/>
          <w:lang w:val="de-DE"/>
        </w:rPr>
      </w:pPr>
      <w:r>
        <w:rPr>
          <w:b/>
          <w:bCs/>
          <w:sz w:val="22"/>
          <w:szCs w:val="22"/>
          <w:lang w:val="de-DE"/>
        </w:rPr>
      </w:r>
    </w:p>
    <w:p>
      <w:pPr>
        <w:pStyle w:val="Normal"/>
        <w:spacing w:before="0" w:after="0"/>
        <w:ind w:left="0" w:right="0" w:hanging="0"/>
        <w:rPr>
          <w:b/>
          <w:bCs/>
          <w:sz w:val="22"/>
          <w:szCs w:val="22"/>
          <w:lang w:val="en-US"/>
        </w:rPr>
      </w:pPr>
      <w:r>
        <w:rPr>
          <w:b/>
          <w:bCs/>
          <w:sz w:val="22"/>
          <w:szCs w:val="22"/>
          <w:lang w:val="en-US"/>
        </w:rPr>
        <w:t>About PicoQuant</w:t>
      </w:r>
    </w:p>
    <w:p>
      <w:pPr>
        <w:pStyle w:val="Normal"/>
        <w:spacing w:before="0" w:after="0"/>
        <w:ind w:left="0" w:right="0" w:hanging="0"/>
        <w:rPr>
          <w:b w:val="false"/>
          <w:bCs w:val="false"/>
          <w:sz w:val="22"/>
          <w:szCs w:val="22"/>
          <w:lang w:val="en-US"/>
        </w:rPr>
      </w:pPr>
      <w:r>
        <w:rPr>
          <w:b w:val="false"/>
          <w:bCs w:val="false"/>
          <w:sz w:val="22"/>
          <w:szCs w:val="22"/>
          <w:lang w:val="en-US"/>
        </w:rPr>
        <w:t xml:space="preserve">PicoQuant GmbH is a research and development company in the field of optoelectronics. The company was founded in 1996 and is based in the science and technology park Berlin-Adlershof, Germany. The company is a worldwide leader in the field of single photon counting applications. The product line includes pulsed diode lasers and LEDs, photon counting instrumentation, fluorescence lifetime spectrometers and time-resolved confocal microscopes. PicoQuant employs currently around 50 people. Since April 2008 Sales and Support in North America is handled by PicoQuant Photonics North America Inc. </w:t>
      </w:r>
    </w:p>
    <w:p>
      <w:pPr>
        <w:pStyle w:val="Normal"/>
        <w:spacing w:before="0" w:after="0"/>
        <w:ind w:left="0" w:right="0" w:hanging="0"/>
        <w:rPr>
          <w:b w:val="false"/>
          <w:bCs w:val="false"/>
          <w:sz w:val="22"/>
          <w:szCs w:val="22"/>
          <w:lang w:val="en-US"/>
        </w:rPr>
      </w:pPr>
      <w:r>
        <w:rPr>
          <w:b w:val="false"/>
          <w:bCs w:val="false"/>
          <w:sz w:val="22"/>
          <w:szCs w:val="22"/>
          <w:lang w:val="en-US"/>
        </w:rPr>
      </w:r>
    </w:p>
    <w:p>
      <w:pPr>
        <w:pStyle w:val="Normal"/>
        <w:spacing w:before="0" w:after="0"/>
        <w:ind w:left="0" w:right="0" w:hanging="0"/>
        <w:rPr>
          <w:b w:val="false"/>
          <w:bCs w:val="false"/>
          <w:sz w:val="22"/>
          <w:szCs w:val="22"/>
          <w:lang w:val="en-US"/>
        </w:rPr>
      </w:pPr>
      <w:r>
        <w:rPr>
          <w:b w:val="false"/>
          <w:bCs w:val="false"/>
          <w:sz w:val="22"/>
          <w:szCs w:val="22"/>
          <w:lang w:val="en-US"/>
        </w:rPr>
      </w:r>
    </w:p>
    <w:p>
      <w:pPr>
        <w:pStyle w:val="Normal"/>
        <w:spacing w:before="0" w:after="0"/>
        <w:ind w:left="0" w:right="0" w:hanging="0"/>
        <w:rPr>
          <w:b/>
          <w:bCs/>
          <w:sz w:val="22"/>
          <w:szCs w:val="22"/>
          <w:lang w:val="en-US"/>
        </w:rPr>
      </w:pPr>
      <w:r>
        <w:rPr>
          <w:b/>
          <w:bCs/>
          <w:sz w:val="22"/>
          <w:szCs w:val="22"/>
          <w:lang w:val="en-US"/>
        </w:rPr>
        <w:t>Attachment</w:t>
      </w:r>
    </w:p>
    <w:p>
      <w:pPr>
        <w:pStyle w:val="Normal"/>
        <w:spacing w:before="0" w:after="0"/>
        <w:ind w:left="0" w:right="0" w:hanging="0"/>
        <w:rPr>
          <w:b w:val="false"/>
          <w:bCs w:val="false"/>
          <w:sz w:val="22"/>
          <w:szCs w:val="22"/>
          <w:lang w:val="en-US"/>
        </w:rPr>
      </w:pPr>
      <w:r>
        <w:rPr>
          <w:b w:val="false"/>
          <w:bCs w:val="false"/>
          <w:sz w:val="22"/>
          <w:szCs w:val="22"/>
          <w:lang w:val="en-US"/>
        </w:rPr>
        <w:t xml:space="preserve">Picture </w:t>
      </w:r>
      <w:r>
        <w:rPr>
          <w:b w:val="false"/>
          <w:bCs w:val="false"/>
          <w:sz w:val="22"/>
          <w:szCs w:val="22"/>
          <w:lang w:val="en-US"/>
        </w:rPr>
        <w:t xml:space="preserve">1: image of Tubulin </w:t>
      </w:r>
    </w:p>
    <w:p>
      <w:pPr>
        <w:pStyle w:val="Normal"/>
        <w:spacing w:before="0" w:after="0"/>
        <w:ind w:left="0" w:right="0" w:hanging="0"/>
        <w:rPr>
          <w:b w:val="false"/>
          <w:bCs w:val="false"/>
          <w:sz w:val="22"/>
          <w:szCs w:val="22"/>
          <w:lang w:val="en-US"/>
        </w:rPr>
      </w:pPr>
      <w:r>
        <w:rPr>
          <w:b w:val="false"/>
          <w:bCs w:val="false"/>
          <w:sz w:val="22"/>
          <w:szCs w:val="22"/>
          <w:lang w:val="en-US"/>
        </w:rPr>
        <w:t>Caption: The image shows part of a Vero cell labeled for Tubulin with Abberior STAR 635P</w:t>
      </w:r>
    </w:p>
    <w:p>
      <w:pPr>
        <w:pStyle w:val="Normal"/>
        <w:spacing w:before="0" w:after="0"/>
        <w:ind w:left="0" w:right="0" w:hanging="0"/>
        <w:rPr/>
      </w:pPr>
      <w:r>
        <w:rPr/>
      </w:r>
    </w:p>
    <w:p>
      <w:pPr>
        <w:pStyle w:val="Normal"/>
        <w:spacing w:before="0" w:after="0"/>
        <w:ind w:left="0" w:right="0" w:hanging="0"/>
        <w:rPr>
          <w:b w:val="false"/>
          <w:bCs w:val="false"/>
          <w:sz w:val="22"/>
          <w:szCs w:val="22"/>
          <w:lang w:val="en-US"/>
        </w:rPr>
      </w:pPr>
      <w:r>
        <w:rPr>
          <w:b w:val="false"/>
          <w:bCs w:val="false"/>
          <w:sz w:val="22"/>
          <w:szCs w:val="22"/>
          <w:lang w:val="en-US"/>
        </w:rPr>
        <w:t>Picture 2: M</w:t>
      </w:r>
      <w:r>
        <w:rPr>
          <w:b w:val="false"/>
          <w:bCs w:val="false"/>
          <w:sz w:val="22"/>
          <w:szCs w:val="22"/>
          <w:lang w:val="en-US"/>
        </w:rPr>
        <w:t>icroTime 200 STED</w:t>
      </w:r>
    </w:p>
    <w:p>
      <w:pPr>
        <w:pStyle w:val="Normal"/>
        <w:spacing w:before="0" w:after="0"/>
        <w:ind w:left="0" w:right="0" w:hanging="0"/>
        <w:rPr>
          <w:b w:val="false"/>
          <w:bCs w:val="false"/>
          <w:sz w:val="22"/>
          <w:szCs w:val="22"/>
          <w:shd w:fill="FFFFFF" w:val="clear"/>
          <w:lang w:val="en-US"/>
        </w:rPr>
      </w:pPr>
      <w:r>
        <w:rPr>
          <w:b w:val="false"/>
          <w:bCs w:val="false"/>
          <w:sz w:val="22"/>
          <w:szCs w:val="22"/>
          <w:shd w:fill="FFFFFF" w:val="clear"/>
          <w:lang w:val="en-US"/>
        </w:rPr>
        <w:t>Caption: The time-resolved confocal microscope MicroTime 200 STED enables spatial resolutions below 50 nm.</w:t>
      </w:r>
    </w:p>
    <w:p>
      <w:pPr>
        <w:pStyle w:val="Normal"/>
        <w:spacing w:before="0" w:after="0"/>
        <w:ind w:left="0" w:right="0" w:hanging="0"/>
        <w:rPr/>
      </w:pPr>
      <w:r>
        <w:rPr/>
      </w:r>
    </w:p>
    <w:p>
      <w:pPr>
        <w:pStyle w:val="Normal"/>
        <w:spacing w:before="0" w:after="0"/>
        <w:ind w:left="0" w:right="0" w:hanging="0"/>
        <w:rPr>
          <w:b w:val="false"/>
          <w:bCs w:val="false"/>
          <w:sz w:val="22"/>
          <w:szCs w:val="22"/>
          <w:shd w:fill="FFFFFF" w:val="clear"/>
          <w:lang w:val="en-US"/>
        </w:rPr>
      </w:pPr>
      <w:r>
        <w:rPr>
          <w:b w:val="false"/>
          <w:bCs w:val="false"/>
          <w:sz w:val="22"/>
          <w:szCs w:val="22"/>
          <w:shd w:fill="FFFFFF" w:val="clear"/>
          <w:lang w:val="en-US"/>
        </w:rPr>
      </w:r>
    </w:p>
    <w:p>
      <w:pPr>
        <w:pStyle w:val="Normal"/>
        <w:spacing w:before="0" w:after="0"/>
        <w:ind w:left="0" w:right="0" w:hanging="0"/>
        <w:rPr>
          <w:b w:val="false"/>
          <w:bCs w:val="false"/>
          <w:sz w:val="22"/>
          <w:szCs w:val="22"/>
          <w:lang w:val="en-US"/>
        </w:rPr>
      </w:pPr>
      <w:r>
        <w:rPr>
          <w:b w:val="false"/>
          <w:bCs w:val="false"/>
          <w:sz w:val="22"/>
          <w:szCs w:val="22"/>
          <w:lang w:val="en-US"/>
        </w:rPr>
      </w:r>
    </w:p>
    <w:p>
      <w:pPr>
        <w:pStyle w:val="Normal"/>
        <w:spacing w:before="0" w:after="0"/>
        <w:ind w:left="0" w:right="0" w:hanging="0"/>
        <w:rPr>
          <w:b/>
          <w:bCs/>
          <w:sz w:val="22"/>
          <w:szCs w:val="22"/>
          <w:lang w:val="en-US"/>
        </w:rPr>
      </w:pPr>
      <w:r>
        <w:rPr>
          <w:b/>
          <w:bCs/>
          <w:sz w:val="22"/>
          <w:szCs w:val="22"/>
          <w:lang w:val="en-US"/>
        </w:rPr>
        <w:t>Contact</w:t>
      </w:r>
    </w:p>
    <w:p>
      <w:pPr>
        <w:pStyle w:val="Normal"/>
        <w:spacing w:before="0" w:after="0"/>
        <w:ind w:left="0" w:right="0" w:hanging="0"/>
        <w:rPr>
          <w:b w:val="false"/>
          <w:bCs w:val="false"/>
          <w:sz w:val="22"/>
          <w:szCs w:val="22"/>
          <w:lang w:val="en-US"/>
        </w:rPr>
      </w:pPr>
      <w:r>
        <w:rPr>
          <w:b w:val="false"/>
          <w:bCs w:val="false"/>
          <w:sz w:val="22"/>
          <w:szCs w:val="22"/>
          <w:lang w:val="en-US"/>
        </w:rPr>
        <w:t>Nicole Bornemann</w:t>
      </w:r>
    </w:p>
    <w:p>
      <w:pPr>
        <w:pStyle w:val="Normal"/>
        <w:spacing w:before="0" w:after="0"/>
        <w:ind w:left="0" w:right="0" w:hanging="0"/>
        <w:rPr>
          <w:b w:val="false"/>
          <w:bCs w:val="false"/>
          <w:sz w:val="22"/>
          <w:szCs w:val="22"/>
          <w:lang w:val="en-US"/>
        </w:rPr>
      </w:pPr>
      <w:r>
        <w:rPr>
          <w:b w:val="false"/>
          <w:bCs w:val="false"/>
          <w:sz w:val="22"/>
          <w:szCs w:val="22"/>
          <w:lang w:val="en-US"/>
        </w:rPr>
        <w:t>Team Leader Marketing</w:t>
      </w:r>
    </w:p>
    <w:p>
      <w:pPr>
        <w:pStyle w:val="Normal"/>
        <w:spacing w:before="0" w:after="0"/>
        <w:ind w:left="0" w:right="0" w:hanging="0"/>
        <w:rPr>
          <w:b w:val="false"/>
          <w:bCs w:val="false"/>
          <w:sz w:val="22"/>
          <w:szCs w:val="22"/>
          <w:lang w:val="en-US"/>
        </w:rPr>
      </w:pPr>
      <w:r>
        <w:rPr>
          <w:b w:val="false"/>
          <w:bCs w:val="false"/>
          <w:sz w:val="22"/>
          <w:szCs w:val="22"/>
          <w:lang w:val="en-US"/>
        </w:rPr>
        <w:t>Tel.: +49-30-6392-6942</w:t>
      </w:r>
    </w:p>
    <w:p>
      <w:pPr>
        <w:pStyle w:val="Normal"/>
        <w:spacing w:before="0" w:after="0"/>
        <w:ind w:left="0" w:right="0" w:hanging="0"/>
        <w:rPr>
          <w:rStyle w:val="Internetlink"/>
          <w:sz w:val="22"/>
          <w:szCs w:val="22"/>
          <w:lang w:val="en-US"/>
        </w:rPr>
      </w:pPr>
      <w:hyperlink r:id="rId2">
        <w:r>
          <w:rPr>
            <w:rStyle w:val="Internetlink"/>
            <w:sz w:val="22"/>
            <w:szCs w:val="22"/>
            <w:lang w:val="en-US"/>
          </w:rPr>
          <w:t>mkt@picoquant.com</w:t>
        </w:r>
      </w:hyperlink>
    </w:p>
    <w:p>
      <w:pPr>
        <w:pStyle w:val="Normal"/>
        <w:spacing w:before="0" w:after="0"/>
        <w:ind w:left="0" w:right="0" w:hanging="0"/>
        <w:rPr>
          <w:sz w:val="22"/>
          <w:szCs w:val="22"/>
          <w:lang w:val="en-US"/>
        </w:rPr>
      </w:pPr>
      <w:r>
        <w:rPr>
          <w:sz w:val="22"/>
          <w:szCs w:val="22"/>
          <w:lang w:val="en-US"/>
        </w:rPr>
        <w:t>www.picoquant.com</w:t>
      </w:r>
    </w:p>
    <w:p>
      <w:pPr>
        <w:pStyle w:val="Normal"/>
        <w:rPr/>
      </w:pPr>
      <w:r>
        <w:rPr/>
      </w:r>
    </w:p>
    <w:sectPr>
      <w:headerReference w:type="even" r:id="rId3"/>
      <w:headerReference w:type="default" r:id="rId4"/>
      <w:footerReference w:type="even" r:id="rId5"/>
      <w:footerReference w:type="default" r:id="rId6"/>
      <w:type w:val="nextPage"/>
      <w:pgSz w:w="11906" w:h="16838"/>
      <w:pgMar w:left="1361" w:right="1134" w:header="1134" w:top="1700" w:footer="567" w:bottom="1822"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uzeile"/>
      <w:rPr>
        <w:sz w:val="4"/>
        <w:szCs w:val="4"/>
      </w:rPr>
    </w:pPr>
    <w:r>
      <w:rPr>
        <w:sz w:val="4"/>
        <w:szCs w:val="4"/>
      </w:rPr>
    </w:r>
  </w:p>
  <w:tbl>
    <w:tblPr>
      <w:jc w:val="left"/>
      <w:tblInd w:w="12" w:type="dxa"/>
      <w:tblBorders>
        <w:top w:val="nil"/>
        <w:left w:val="nil"/>
        <w:bottom w:val="nil"/>
        <w:insideH w:val="nil"/>
        <w:right w:val="nil"/>
        <w:insideV w:val="nil"/>
      </w:tblBorders>
      <w:tblCellMar>
        <w:top w:w="0" w:type="dxa"/>
        <w:left w:w="0" w:type="dxa"/>
        <w:bottom w:w="0" w:type="dxa"/>
        <w:right w:w="0" w:type="dxa"/>
      </w:tblCellMar>
    </w:tblPr>
    <w:tblGrid>
      <w:gridCol w:w="2118"/>
      <w:gridCol w:w="2272"/>
      <w:gridCol w:w="2617"/>
      <w:gridCol w:w="2926"/>
    </w:tblGrid>
    <w:tr>
      <w:trPr>
        <w:trHeight w:val="176" w:hRule="exact"/>
        <w:cantSplit w:val="false"/>
      </w:trPr>
      <w:tc>
        <w:tcPr>
          <w:tcW w:w="2118"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PicoQuant GmbH</w:t>
          </w:r>
        </w:p>
      </w:tc>
      <w:tc>
        <w:tcPr>
          <w:tcW w:w="2272"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Tel:</w:t>
            <w:tab/>
            <w:t>+49 30 6392 6929</w:t>
          </w:r>
        </w:p>
      </w:tc>
      <w:tc>
        <w:tcPr>
          <w:tcW w:w="2617"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Bank: Berliner Volksbank, 10892 Berlin</w:t>
          </w:r>
        </w:p>
      </w:tc>
      <w:tc>
        <w:tcPr>
          <w:tcW w:w="2926"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Managing Director: Rainer Erdmann</w:t>
          </w:r>
        </w:p>
      </w:tc>
    </w:tr>
    <w:tr>
      <w:trPr>
        <w:trHeight w:val="176" w:hRule="exact"/>
        <w:cantSplit w:val="false"/>
      </w:trPr>
      <w:tc>
        <w:tcPr>
          <w:tcW w:w="2118"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Rudower Chaussee 29 (IGZ)</w:t>
          </w:r>
        </w:p>
      </w:tc>
      <w:tc>
        <w:tcPr>
          <w:tcW w:w="2272"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Fax:</w:t>
            <w:tab/>
            <w:t>+49 30 6392 6561</w:t>
          </w:r>
        </w:p>
      </w:tc>
      <w:tc>
        <w:tcPr>
          <w:tcW w:w="2617"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Account.-No.: 5610921002</w:t>
          </w:r>
        </w:p>
      </w:tc>
      <w:tc>
        <w:tcPr>
          <w:tcW w:w="2926"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HRB 60901, AG Berlin-Charlottenburg</w:t>
          </w:r>
        </w:p>
      </w:tc>
    </w:tr>
    <w:tr>
      <w:trPr>
        <w:trHeight w:val="176" w:hRule="exact"/>
        <w:cantSplit w:val="false"/>
      </w:trPr>
      <w:tc>
        <w:tcPr>
          <w:tcW w:w="2118"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12489 Berlin</w:t>
          </w:r>
        </w:p>
      </w:tc>
      <w:tc>
        <w:tcPr>
          <w:tcW w:w="2272"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E-mail:</w:t>
            <w:tab/>
            <w:t>info@picoquant.com</w:t>
          </w:r>
        </w:p>
      </w:tc>
      <w:tc>
        <w:tcPr>
          <w:tcW w:w="2617"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Sort-Code:1009000</w:t>
          </w:r>
        </w:p>
      </w:tc>
      <w:tc>
        <w:tcPr>
          <w:tcW w:w="2926"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Tax-ID.: 37/464/20131</w:t>
          </w:r>
        </w:p>
      </w:tc>
    </w:tr>
    <w:tr>
      <w:trPr>
        <w:trHeight w:val="176" w:hRule="exact"/>
        <w:cantSplit w:val="false"/>
      </w:trPr>
      <w:tc>
        <w:tcPr>
          <w:tcW w:w="2118"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Germany</w:t>
          </w:r>
        </w:p>
      </w:tc>
      <w:tc>
        <w:tcPr>
          <w:tcW w:w="2272"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http://www.picoquant.com</w:t>
          </w:r>
        </w:p>
      </w:tc>
      <w:tc>
        <w:tcPr>
          <w:tcW w:w="2617"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IBAN: DE86100900005610921002</w:t>
          </w:r>
        </w:p>
      </w:tc>
      <w:tc>
        <w:tcPr>
          <w:tcW w:w="2926"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VAT-ID: DE812140373</w:t>
          </w:r>
        </w:p>
      </w:tc>
    </w:tr>
    <w:tr>
      <w:trPr>
        <w:trHeight w:val="176" w:hRule="exact"/>
        <w:cantSplit w:val="false"/>
      </w:trPr>
      <w:tc>
        <w:tcPr>
          <w:tcW w:w="2118"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Shipping address: Kekuléstr. 7</w:t>
          </w:r>
        </w:p>
      </w:tc>
      <w:tc>
        <w:tcPr>
          <w:tcW w:w="2272"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r>
        </w:p>
      </w:tc>
      <w:tc>
        <w:tcPr>
          <w:tcW w:w="2617"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SWIFT Code: BEVODEBB</w:t>
          </w:r>
        </w:p>
      </w:tc>
      <w:tc>
        <w:tcPr>
          <w:tcW w:w="2926"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WEEE-Reg.-No.: DE964574</w:t>
          </w:r>
        </w:p>
      </w:tc>
    </w:tr>
  </w:tbl>
  <w:p>
    <w:pPr>
      <w:pStyle w:val="Normal"/>
      <w:rPr>
        <w:sz w:val="4"/>
        <w:szCs w:val="4"/>
      </w:rPr>
    </w:pPr>
    <w:r>
      <w:rPr>
        <w:sz w:val="4"/>
        <w:szCs w:val="4"/>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uzeile"/>
      <w:rPr>
        <w:sz w:val="4"/>
        <w:szCs w:val="4"/>
      </w:rPr>
    </w:pPr>
    <w:r>
      <w:rPr>
        <w:sz w:val="4"/>
        <w:szCs w:val="4"/>
      </w:rPr>
    </w:r>
  </w:p>
  <w:tbl>
    <w:tblPr>
      <w:jc w:val="left"/>
      <w:tblInd w:w="12" w:type="dxa"/>
      <w:tblBorders>
        <w:top w:val="nil"/>
        <w:left w:val="nil"/>
        <w:bottom w:val="nil"/>
        <w:insideH w:val="nil"/>
        <w:right w:val="nil"/>
        <w:insideV w:val="nil"/>
      </w:tblBorders>
      <w:tblCellMar>
        <w:top w:w="0" w:type="dxa"/>
        <w:left w:w="0" w:type="dxa"/>
        <w:bottom w:w="0" w:type="dxa"/>
        <w:right w:w="0" w:type="dxa"/>
      </w:tblCellMar>
    </w:tblPr>
    <w:tblGrid>
      <w:gridCol w:w="2118"/>
      <w:gridCol w:w="2272"/>
      <w:gridCol w:w="2617"/>
      <w:gridCol w:w="2926"/>
    </w:tblGrid>
    <w:tr>
      <w:trPr>
        <w:trHeight w:val="176" w:hRule="exact"/>
        <w:cantSplit w:val="false"/>
      </w:trPr>
      <w:tc>
        <w:tcPr>
          <w:tcW w:w="2118"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PicoQuant GmbH</w:t>
          </w:r>
        </w:p>
      </w:tc>
      <w:tc>
        <w:tcPr>
          <w:tcW w:w="2272"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Tel:</w:t>
            <w:tab/>
            <w:t>+49 30 6392 6929</w:t>
          </w:r>
        </w:p>
      </w:tc>
      <w:tc>
        <w:tcPr>
          <w:tcW w:w="2617"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Bank: Berliner Volksbank, 10892 Berlin</w:t>
          </w:r>
        </w:p>
      </w:tc>
      <w:tc>
        <w:tcPr>
          <w:tcW w:w="2926"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Managing Director: Rainer Erdmann</w:t>
          </w:r>
        </w:p>
      </w:tc>
    </w:tr>
    <w:tr>
      <w:trPr>
        <w:trHeight w:val="176" w:hRule="exact"/>
        <w:cantSplit w:val="false"/>
      </w:trPr>
      <w:tc>
        <w:tcPr>
          <w:tcW w:w="2118"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Rudower Chaussee 29 (IGZ)</w:t>
          </w:r>
        </w:p>
      </w:tc>
      <w:tc>
        <w:tcPr>
          <w:tcW w:w="2272"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Fax:</w:t>
            <w:tab/>
            <w:t>+49 30 6392 6561</w:t>
          </w:r>
        </w:p>
      </w:tc>
      <w:tc>
        <w:tcPr>
          <w:tcW w:w="2617"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Account.-No.: 5610921002</w:t>
          </w:r>
        </w:p>
      </w:tc>
      <w:tc>
        <w:tcPr>
          <w:tcW w:w="2926"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HRB 60901, AG Berlin-Charlottenburg</w:t>
          </w:r>
        </w:p>
      </w:tc>
    </w:tr>
    <w:tr>
      <w:trPr>
        <w:trHeight w:val="176" w:hRule="exact"/>
        <w:cantSplit w:val="false"/>
      </w:trPr>
      <w:tc>
        <w:tcPr>
          <w:tcW w:w="2118"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12489 Berlin</w:t>
          </w:r>
        </w:p>
      </w:tc>
      <w:tc>
        <w:tcPr>
          <w:tcW w:w="2272"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E-mail:</w:t>
            <w:tab/>
            <w:t>info@picoquant.com</w:t>
          </w:r>
        </w:p>
      </w:tc>
      <w:tc>
        <w:tcPr>
          <w:tcW w:w="2617"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Sort-Code:1009000</w:t>
          </w:r>
        </w:p>
      </w:tc>
      <w:tc>
        <w:tcPr>
          <w:tcW w:w="2926"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Tax-ID.: 37/464/20131</w:t>
          </w:r>
        </w:p>
      </w:tc>
    </w:tr>
    <w:tr>
      <w:trPr>
        <w:trHeight w:val="176" w:hRule="exact"/>
        <w:cantSplit w:val="false"/>
      </w:trPr>
      <w:tc>
        <w:tcPr>
          <w:tcW w:w="2118"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Germany</w:t>
          </w:r>
        </w:p>
      </w:tc>
      <w:tc>
        <w:tcPr>
          <w:tcW w:w="2272"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http://www.picoquant.com</w:t>
          </w:r>
        </w:p>
      </w:tc>
      <w:tc>
        <w:tcPr>
          <w:tcW w:w="2617"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IBAN: DE86100900005610921002</w:t>
          </w:r>
        </w:p>
      </w:tc>
      <w:tc>
        <w:tcPr>
          <w:tcW w:w="2926"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VAT-ID: DE812140373</w:t>
          </w:r>
        </w:p>
      </w:tc>
    </w:tr>
    <w:tr>
      <w:trPr>
        <w:trHeight w:val="176" w:hRule="exact"/>
        <w:cantSplit w:val="false"/>
      </w:trPr>
      <w:tc>
        <w:tcPr>
          <w:tcW w:w="2118"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Shipping address: Kekuléstr. 7</w:t>
          </w:r>
        </w:p>
      </w:tc>
      <w:tc>
        <w:tcPr>
          <w:tcW w:w="2272"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r>
        </w:p>
      </w:tc>
      <w:tc>
        <w:tcPr>
          <w:tcW w:w="2617"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SWIFT Code: BEVODEBB</w:t>
          </w:r>
        </w:p>
      </w:tc>
      <w:tc>
        <w:tcPr>
          <w:tcW w:w="2926" w:type="dxa"/>
          <w:tcBorders>
            <w:top w:val="nil"/>
            <w:left w:val="nil"/>
            <w:bottom w:val="nil"/>
            <w:insideH w:val="nil"/>
            <w:right w:val="nil"/>
            <w:insideV w:val="nil"/>
          </w:tcBorders>
          <w:shd w:fill="FFFFFF" w:val="clear"/>
        </w:tcPr>
        <w:p>
          <w:pPr>
            <w:pStyle w:val="TabellenInhalt"/>
            <w:spacing w:before="0" w:after="120"/>
            <w:rPr>
              <w:color w:val="808080"/>
              <w:sz w:val="14"/>
              <w:szCs w:val="14"/>
            </w:rPr>
          </w:pPr>
          <w:r>
            <w:rPr>
              <w:color w:val="808080"/>
              <w:sz w:val="14"/>
              <w:szCs w:val="14"/>
            </w:rPr>
            <w:t>WEEE-Reg.-No.: DE964574</w:t>
          </w:r>
        </w:p>
      </w:tc>
    </w:tr>
  </w:tbl>
  <w:p>
    <w:pPr>
      <w:pStyle w:val="Normal"/>
      <w:rPr>
        <w:sz w:val="4"/>
        <w:szCs w:val="4"/>
      </w:rPr>
    </w:pPr>
    <w:r>
      <w:rPr>
        <w:sz w:val="4"/>
        <w:szCs w:val="4"/>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Kopfzeil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Rahmeninhalt"/>
      <w:rPr>
        <w:b/>
        <w:bCs/>
        <w:sz w:val="42"/>
        <w:szCs w:val="42"/>
      </w:rPr>
    </w:pPr>
    <w:r>
      <w:rPr>
        <w:b/>
        <w:bCs/>
        <w:sz w:val="42"/>
        <w:szCs w:val="42"/>
      </w:rPr>
      <w:t>Press Release</w:t>
      <w:drawing>
        <wp:anchor behindDoc="1" distT="0" distB="0" distL="0" distR="0" simplePos="0" locked="0" layoutInCell="1" allowOverlap="1" relativeHeight="0">
          <wp:simplePos x="0" y="0"/>
          <wp:positionH relativeFrom="column">
            <wp:posOffset>4840605</wp:posOffset>
          </wp:positionH>
          <wp:positionV relativeFrom="paragraph">
            <wp:posOffset>-10160</wp:posOffset>
          </wp:positionV>
          <wp:extent cx="1165225" cy="1115695"/>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1165225" cy="1115695"/>
                  </a:xfrm>
                  <a:prstGeom prst="rect">
                    <a:avLst/>
                  </a:prstGeom>
                  <a:noFill/>
                  <a:ln w="9525">
                    <a:noFill/>
                    <a:miter lim="800000"/>
                    <a:headEnd/>
                    <a:tailEnd/>
                  </a:ln>
                </pic:spPr>
              </pic:pic>
            </a:graphicData>
          </a:graphic>
        </wp:anchor>
      </w:drawing>
    </w:r>
  </w:p>
</w:hdr>
</file>

<file path=word/settings.xml><?xml version="1.0" encoding="utf-8"?>
<w:settings xmlns:w="http://schemas.openxmlformats.org/wordprocessingml/2006/main">
  <w:zoom w:percent="100"/>
  <w:defaultTabStop w:val="709"/>
  <w:evenAndOddHeaders/>
</w:settings>
</file>

<file path=word/styles.xml><?xml version="1.0" encoding="utf-8"?>
<w:styles xmlns:w="http://schemas.openxmlformats.org/wordprocessingml/2006/main">
  <w:docDefaults>
    <w:rPrDefault>
      <w:rPr>
        <w:rFonts w:ascii="Arial" w:hAnsi="Arial" w:eastAsia="SimSun" w:cs="Mangal"/>
        <w:sz w:val="24"/>
        <w:szCs w:val="24"/>
        <w:lang w:val="de-DE" w:eastAsia="zh-CN" w:bidi="hi-IN"/>
      </w:rPr>
    </w:rPrDefault>
    <w:pPrDefault>
      <w:pPr/>
    </w:pPrDefault>
  </w:docDefaults>
  <w:style w:type="paragraph" w:styleId="Normal">
    <w:name w:val="Normal"/>
    <w:pPr>
      <w:widowControl w:val="false"/>
      <w:suppressAutoHyphens w:val="true"/>
      <w:overflowPunct w:val="true"/>
      <w:bidi w:val="0"/>
      <w:jc w:val="left"/>
    </w:pPr>
    <w:rPr>
      <w:rFonts w:ascii="Arial" w:hAnsi="Arial" w:eastAsia="Lucida Sans Unicode" w:cs="Tahoma"/>
      <w:color w:val="00000A"/>
      <w:sz w:val="24"/>
      <w:szCs w:val="24"/>
      <w:lang w:val="en-US" w:eastAsia="zh-CN" w:bidi="hi-IN"/>
    </w:rPr>
  </w:style>
  <w:style w:type="character" w:styleId="Internetlink">
    <w:name w:val="Internetlink"/>
    <w:rPr>
      <w:color w:val="000080"/>
      <w:u w:val="single"/>
      <w:lang w:val="zxx" w:eastAsia="zxx" w:bidi="zxx"/>
    </w:rPr>
  </w:style>
  <w:style w:type="paragraph" w:styleId="Berschrift">
    <w:name w:val="Überschrift"/>
    <w:basedOn w:val="Normal"/>
    <w:next w:val="Textkrper"/>
    <w:pPr>
      <w:keepNext/>
      <w:spacing w:before="240" w:after="120"/>
    </w:pPr>
    <w:rPr>
      <w:rFonts w:ascii="Arial" w:hAnsi="Arial" w:eastAsia="Lucida Sans Unicode" w:cs="Tahoma"/>
      <w:sz w:val="28"/>
      <w:szCs w:val="28"/>
    </w:rPr>
  </w:style>
  <w:style w:type="paragraph" w:styleId="Textkrper">
    <w:name w:val="Textkörper"/>
    <w:basedOn w:val="Normal"/>
    <w:pPr>
      <w:spacing w:lineRule="auto" w:line="288" w:before="0" w:after="120"/>
    </w:pPr>
    <w:rPr/>
  </w:style>
  <w:style w:type="paragraph" w:styleId="Liste">
    <w:name w:val="Liste"/>
    <w:basedOn w:val="Textkrper"/>
    <w:pPr/>
    <w:rPr>
      <w:rFonts w:ascii="Arial" w:hAnsi="Arial" w:cs="Tahoma"/>
    </w:rPr>
  </w:style>
  <w:style w:type="paragraph" w:styleId="Beschriftung">
    <w:name w:val="Beschriftung"/>
    <w:basedOn w:val="Normal"/>
    <w:pPr>
      <w:suppressLineNumbers/>
      <w:spacing w:before="120" w:after="120"/>
    </w:pPr>
    <w:rPr>
      <w:rFonts w:ascii="Arial" w:hAnsi="Arial" w:cs="Tahoma"/>
      <w:i/>
      <w:iCs/>
      <w:sz w:val="24"/>
      <w:szCs w:val="24"/>
    </w:rPr>
  </w:style>
  <w:style w:type="paragraph" w:styleId="Verzeichnis">
    <w:name w:val="Verzeichnis"/>
    <w:basedOn w:val="Normal"/>
    <w:pPr>
      <w:suppressLineNumbers/>
    </w:pPr>
    <w:rPr>
      <w:rFonts w:ascii="Arial" w:hAnsi="Arial" w:cs="Tahoma"/>
    </w:rPr>
  </w:style>
  <w:style w:type="paragraph" w:styleId="Kopfzeile">
    <w:name w:val="Kopfzeile"/>
    <w:basedOn w:val="Normal"/>
    <w:pPr>
      <w:suppressLineNumbers/>
      <w:tabs>
        <w:tab w:val="center" w:pos="4819" w:leader="none"/>
        <w:tab w:val="right" w:pos="9638" w:leader="none"/>
      </w:tabs>
    </w:pPr>
    <w:rPr/>
  </w:style>
  <w:style w:type="paragraph" w:styleId="Fuzeile">
    <w:name w:val="Fußzeile"/>
    <w:basedOn w:val="Normal"/>
    <w:pPr>
      <w:suppressLineNumbers/>
      <w:tabs>
        <w:tab w:val="center" w:pos="4819" w:leader="none"/>
        <w:tab w:val="right" w:pos="9638" w:leader="none"/>
      </w:tabs>
    </w:pPr>
    <w:rPr/>
  </w:style>
  <w:style w:type="paragraph" w:styleId="TabellenInhalt">
    <w:name w:val="Tabellen Inhalt"/>
    <w:basedOn w:val="Textkrper"/>
    <w:pPr>
      <w:suppressLineNumbers/>
    </w:pPr>
    <w:rPr/>
  </w:style>
  <w:style w:type="paragraph" w:styleId="Rahmeninhalt">
    <w:name w:val="Rahmeninhal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mkt@picoquant.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settings" Target="settings.xml"/>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otalTime>13612</TotalTime>
  <Application>LibreOffice/4.2.3.3$Windows_x86 LibreOffice_project/882f8a0a489bc99a9e60c7905a60226254cb6ff0</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2014-06-12T10:35:28Z</dcterms:created>
  <dc:language>de-DE</dc:language>
  <cp:lastModifiedBy>Nicole Bornemann</cp:lastModifiedBy>
  <dcterms:modified xsi:type="dcterms:W3CDTF">2014-06-13T14:46:23Z</dcterms:modified>
  <cp:revision>16</cp:revision>
</cp:coreProperties>
</file>