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png" ContentType="image/png"/>
  <Override PartName="/word/header1.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300" w:lineRule="auto"/>
        <w:ind w:hanging="0" w:left="0" w:right="0"/>
        <w:contextualSpacing w:val="false"/>
        <w:rPr>
          <w:b/>
          <w:bCs/>
          <w:sz w:val="28"/>
          <w:szCs w:val="28"/>
        </w:rPr>
      </w:pPr>
      <w:r>
        <w:rPr>
          <w:b/>
          <w:bCs/>
          <w:sz w:val="28"/>
          <w:szCs w:val="28"/>
        </w:rPr>
      </w:r>
    </w:p>
    <w:p>
      <w:pPr>
        <w:pStyle w:val="style0"/>
        <w:spacing w:after="0" w:before="0" w:line="100" w:lineRule="atLeast"/>
        <w:ind w:hanging="0" w:left="0" w:right="0"/>
        <w:contextualSpacing w:val="false"/>
        <w:rPr>
          <w:rFonts w:cs="Arial" w:eastAsia="Arial"/>
          <w:b w:val="false"/>
          <w:bCs w:val="false"/>
          <w:i w:val="false"/>
          <w:iCs w:val="false"/>
          <w:sz w:val="22"/>
          <w:szCs w:val="22"/>
        </w:rPr>
      </w:pPr>
      <w:r>
        <w:rPr>
          <w:rFonts w:cs="Arial" w:eastAsia="Arial"/>
          <w:b w:val="false"/>
          <w:bCs w:val="false"/>
          <w:i w:val="false"/>
          <w:iCs w:val="false"/>
          <w:sz w:val="22"/>
          <w:szCs w:val="22"/>
        </w:rPr>
        <w:t>For immediate release</w:t>
      </w:r>
    </w:p>
    <w:p>
      <w:pPr>
        <w:pStyle w:val="style0"/>
        <w:spacing w:line="100" w:lineRule="atLeast"/>
        <w:rPr>
          <w:rFonts w:cs="Arial" w:eastAsia="Arial"/>
          <w:b w:val="false"/>
          <w:bCs w:val="false"/>
          <w:i w:val="false"/>
          <w:iCs w:val="false"/>
          <w:color w:val="000000"/>
          <w:sz w:val="22"/>
          <w:szCs w:val="22"/>
        </w:rPr>
      </w:pPr>
      <w:r>
        <w:rPr>
          <w:rFonts w:cs="Arial" w:eastAsia="Arial"/>
          <w:b w:val="false"/>
          <w:bCs w:val="false"/>
          <w:i w:val="false"/>
          <w:iCs w:val="false"/>
          <w:color w:val="000000"/>
          <w:sz w:val="22"/>
          <w:szCs w:val="22"/>
        </w:rPr>
        <w:t>13 June 2014</w:t>
      </w:r>
    </w:p>
    <w:p>
      <w:pPr>
        <w:pStyle w:val="style0"/>
        <w:spacing w:after="0" w:before="0" w:line="300" w:lineRule="auto"/>
        <w:ind w:hanging="0" w:left="0" w:right="0"/>
        <w:contextualSpacing w:val="false"/>
        <w:rPr>
          <w:b/>
          <w:bCs/>
          <w:color w:val="000000"/>
          <w:sz w:val="28"/>
          <w:szCs w:val="28"/>
        </w:rPr>
      </w:pPr>
      <w:r>
        <w:rPr>
          <w:b/>
          <w:bCs/>
          <w:color w:val="000000"/>
          <w:sz w:val="28"/>
          <w:szCs w:val="28"/>
        </w:rPr>
      </w:r>
    </w:p>
    <w:p>
      <w:pPr>
        <w:pStyle w:val="style0"/>
        <w:spacing w:after="0" w:before="0" w:line="300" w:lineRule="auto"/>
        <w:ind w:hanging="0" w:left="0" w:right="0"/>
        <w:contextualSpacing w:val="false"/>
        <w:rPr>
          <w:b/>
          <w:bCs/>
          <w:color w:val="000000"/>
          <w:sz w:val="28"/>
          <w:szCs w:val="28"/>
        </w:rPr>
      </w:pPr>
      <w:r>
        <w:rPr>
          <w:b/>
          <w:bCs/>
          <w:color w:val="000000"/>
          <w:sz w:val="28"/>
          <w:szCs w:val="28"/>
        </w:rPr>
      </w:r>
    </w:p>
    <w:p>
      <w:pPr>
        <w:pStyle w:val="style0"/>
        <w:spacing w:after="0" w:before="0" w:line="300" w:lineRule="auto"/>
        <w:ind w:hanging="0" w:left="0" w:right="0"/>
        <w:contextualSpacing w:val="false"/>
        <w:rPr>
          <w:b/>
          <w:bCs/>
          <w:color w:val="000000"/>
          <w:sz w:val="28"/>
          <w:szCs w:val="28"/>
        </w:rPr>
      </w:pPr>
      <w:r>
        <w:rPr>
          <w:b/>
          <w:bCs/>
          <w:color w:val="000000"/>
          <w:sz w:val="28"/>
          <w:szCs w:val="28"/>
        </w:rPr>
      </w:r>
    </w:p>
    <w:p>
      <w:pPr>
        <w:pStyle w:val="style0"/>
        <w:spacing w:after="0" w:before="0" w:line="300" w:lineRule="auto"/>
        <w:ind w:hanging="0" w:left="0" w:right="0"/>
        <w:contextualSpacing w:val="false"/>
        <w:rPr>
          <w:b/>
          <w:bCs/>
          <w:sz w:val="22"/>
          <w:szCs w:val="22"/>
          <w:lang w:val="en-US"/>
        </w:rPr>
      </w:pPr>
      <w:r>
        <w:rPr>
          <w:b/>
          <w:bCs/>
          <w:sz w:val="22"/>
          <w:szCs w:val="22"/>
          <w:lang w:val="en-US"/>
        </w:rPr>
      </w:r>
    </w:p>
    <w:p>
      <w:pPr>
        <w:pStyle w:val="style0"/>
        <w:spacing w:after="0" w:before="0" w:line="300" w:lineRule="auto"/>
        <w:ind w:hanging="0" w:left="0" w:right="0"/>
        <w:contextualSpacing w:val="false"/>
        <w:rPr>
          <w:b/>
          <w:bCs/>
          <w:sz w:val="28"/>
          <w:szCs w:val="28"/>
          <w:lang w:val="en-US"/>
        </w:rPr>
      </w:pPr>
      <w:bookmarkStart w:id="0" w:name="__DdeLink__793_1937509564"/>
      <w:bookmarkEnd w:id="0"/>
      <w:r>
        <w:rPr>
          <w:b/>
          <w:bCs/>
          <w:sz w:val="28"/>
          <w:szCs w:val="28"/>
          <w:lang w:val="en-US"/>
        </w:rPr>
        <w:t>PicoQuant goes beyond the diffraction limit with STED</w:t>
      </w:r>
    </w:p>
    <w:p>
      <w:pPr>
        <w:pStyle w:val="style0"/>
        <w:spacing w:after="0" w:before="0" w:line="300" w:lineRule="auto"/>
        <w:ind w:hanging="0" w:left="0" w:right="0"/>
        <w:contextualSpacing w:val="false"/>
        <w:rPr>
          <w:b/>
          <w:bCs/>
          <w:sz w:val="22"/>
          <w:szCs w:val="22"/>
          <w:lang w:val="en-US"/>
        </w:rPr>
      </w:pPr>
      <w:r>
        <w:rPr>
          <w:b/>
          <w:bCs/>
          <w:sz w:val="22"/>
          <w:szCs w:val="22"/>
          <w:lang w:val="en-US"/>
        </w:rPr>
      </w:r>
    </w:p>
    <w:p>
      <w:pPr>
        <w:pStyle w:val="style0"/>
        <w:spacing w:after="0" w:before="0" w:line="300" w:lineRule="auto"/>
        <w:ind w:hanging="0" w:left="0" w:right="0"/>
        <w:contextualSpacing w:val="false"/>
        <w:rPr>
          <w:b/>
          <w:bCs/>
          <w:sz w:val="22"/>
          <w:szCs w:val="22"/>
          <w:lang w:val="en-US"/>
        </w:rPr>
      </w:pPr>
      <w:r>
        <w:rPr>
          <w:b/>
          <w:bCs/>
          <w:sz w:val="22"/>
          <w:szCs w:val="22"/>
          <w:lang w:val="en-US"/>
        </w:rPr>
        <w:t>A new upgrade enables the time-resolved confocal microscope MicroTime 200 for STED super-resolution microscopy</w:t>
      </w:r>
    </w:p>
    <w:p>
      <w:pPr>
        <w:pStyle w:val="style0"/>
        <w:spacing w:after="0" w:before="0" w:line="300" w:lineRule="auto"/>
        <w:ind w:hanging="0" w:left="0" w:right="0"/>
        <w:contextualSpacing w:val="false"/>
        <w:rPr>
          <w:b/>
          <w:bCs/>
          <w:sz w:val="22"/>
          <w:szCs w:val="22"/>
          <w:lang w:val="en-US"/>
        </w:rPr>
      </w:pPr>
      <w:r>
        <w:rPr>
          <w:b/>
          <w:bCs/>
          <w:sz w:val="22"/>
          <w:szCs w:val="22"/>
          <w:lang w:val="en-US"/>
        </w:rPr>
      </w:r>
    </w:p>
    <w:p>
      <w:pPr>
        <w:pStyle w:val="style0"/>
        <w:spacing w:after="0" w:before="0" w:line="300" w:lineRule="auto"/>
        <w:ind w:hanging="0" w:left="0" w:right="0"/>
        <w:contextualSpacing w:val="false"/>
        <w:rPr>
          <w:b/>
          <w:bCs/>
          <w:sz w:val="22"/>
          <w:szCs w:val="22"/>
          <w:lang w:val="en-US"/>
        </w:rPr>
      </w:pPr>
      <w:r>
        <w:rPr>
          <w:b/>
          <w:bCs/>
          <w:sz w:val="22"/>
          <w:szCs w:val="22"/>
          <w:lang w:val="en-US"/>
        </w:rPr>
      </w:r>
    </w:p>
    <w:p>
      <w:pPr>
        <w:pStyle w:val="style0"/>
        <w:spacing w:after="0" w:before="0" w:line="300" w:lineRule="auto"/>
        <w:ind w:hanging="0" w:left="0" w:right="0"/>
        <w:contextualSpacing w:val="false"/>
        <w:rPr>
          <w:b w:val="false"/>
          <w:bCs w:val="false"/>
          <w:sz w:val="22"/>
          <w:szCs w:val="22"/>
          <w:lang w:val="en-US"/>
        </w:rPr>
      </w:pPr>
      <w:r>
        <w:rPr>
          <w:b/>
          <w:bCs/>
          <w:sz w:val="22"/>
          <w:szCs w:val="22"/>
          <w:lang w:val="en-US"/>
        </w:rPr>
        <w:t>Berlin (Germany), 13 J</w:t>
      </w:r>
      <w:r>
        <w:rPr>
          <w:b/>
          <w:bCs/>
          <w:color w:val="000000"/>
          <w:sz w:val="22"/>
          <w:szCs w:val="22"/>
          <w:shd w:fill="FFFFFF" w:val="clear"/>
          <w:lang w:val="en-US"/>
        </w:rPr>
        <w:t xml:space="preserve">une 2014 </w:t>
      </w:r>
      <w:r>
        <w:rPr>
          <w:b w:val="false"/>
          <w:bCs w:val="false"/>
          <w:color w:val="000000"/>
          <w:sz w:val="22"/>
          <w:szCs w:val="22"/>
          <w:shd w:fill="FFFFFF" w:val="clear"/>
          <w:lang w:val="en-US"/>
        </w:rPr>
        <w:t>– Pic</w:t>
      </w:r>
      <w:r>
        <w:rPr>
          <w:b w:val="false"/>
          <w:bCs w:val="false"/>
          <w:sz w:val="22"/>
          <w:szCs w:val="22"/>
          <w:lang w:val="en-US"/>
        </w:rPr>
        <w:t xml:space="preserve">oQuant GmbH, specialist in the field of single photon counting applications, will release a super-resolution upgrade to its confocal microscopy system MicroTime 200. The STED (stimulated emission depletion) upgrade will be presented to the public for the first time during a </w:t>
      </w:r>
      <w:r>
        <w:rPr>
          <w:b w:val="false"/>
          <w:bCs w:val="false"/>
          <w:sz w:val="22"/>
          <w:szCs w:val="22"/>
          <w:shd w:fill="FFFFFF" w:val="clear"/>
          <w:lang w:val="en-US"/>
        </w:rPr>
        <w:t>product demonstration</w:t>
      </w:r>
      <w:r>
        <w:rPr>
          <w:b w:val="false"/>
          <w:bCs w:val="false"/>
          <w:sz w:val="22"/>
          <w:szCs w:val="22"/>
          <w:lang w:val="en-US"/>
        </w:rPr>
        <w:t xml:space="preserve"> at PicoQuant's 20</w:t>
      </w:r>
      <w:r>
        <w:rPr>
          <w:b w:val="false"/>
          <w:bCs w:val="false"/>
          <w:sz w:val="22"/>
          <w:szCs w:val="22"/>
          <w:vertAlign w:val="superscript"/>
          <w:lang w:val="en-US"/>
        </w:rPr>
        <w:t>th</w:t>
      </w:r>
      <w:r>
        <w:rPr>
          <w:b w:val="false"/>
          <w:bCs w:val="false"/>
          <w:sz w:val="22"/>
          <w:szCs w:val="22"/>
          <w:lang w:val="en-US"/>
        </w:rPr>
        <w:t xml:space="preserve"> International Workshop on “Single Molecule Spectroscopy and Ultra Sensitive Analysis in the Life Sciences”. The workshop takes place on September 2-5, 2014 in Berlin, Germany.</w:t>
      </w:r>
    </w:p>
    <w:p>
      <w:pPr>
        <w:pStyle w:val="style0"/>
        <w:spacing w:after="0" w:before="0" w:line="300" w:lineRule="auto"/>
        <w:ind w:hanging="0" w:left="0" w:right="0"/>
        <w:contextualSpacing w:val="false"/>
        <w:rPr>
          <w:b w:val="false"/>
          <w:bCs w:val="false"/>
          <w:sz w:val="22"/>
          <w:szCs w:val="22"/>
          <w:lang w:val="en-US"/>
        </w:rPr>
      </w:pPr>
      <w:r>
        <w:rPr>
          <w:b w:val="false"/>
          <w:bCs w:val="false"/>
          <w:sz w:val="22"/>
          <w:szCs w:val="22"/>
          <w:lang w:val="en-US"/>
        </w:rPr>
      </w:r>
    </w:p>
    <w:p>
      <w:pPr>
        <w:pStyle w:val="style0"/>
        <w:shd w:fill="FFFFFF" w:val="clear"/>
        <w:spacing w:after="0" w:before="0" w:line="300" w:lineRule="auto"/>
        <w:ind w:hanging="0" w:left="0" w:right="0"/>
        <w:contextualSpacing w:val="false"/>
        <w:rPr>
          <w:b w:val="false"/>
          <w:bCs w:val="false"/>
          <w:sz w:val="22"/>
          <w:szCs w:val="22"/>
          <w:shd w:fill="FFFFFF" w:val="clear"/>
          <w:lang w:val="en-US"/>
        </w:rPr>
      </w:pPr>
      <w:r>
        <w:rPr>
          <w:b w:val="false"/>
          <w:bCs w:val="false"/>
          <w:sz w:val="22"/>
          <w:szCs w:val="22"/>
          <w:lang w:val="en-US"/>
        </w:rPr>
        <w:t xml:space="preserve">The MicroTime 200 is a powerful and versatile FLIM and FCS platform that enables the user to perform a wide range of measurements down to the single molecule level. In addition to the excellent timing resolution of the MicroTime 200, the new STED upgrade will offer spatial resolution several times lower than the diffraction limit. Apart from imaging, where the increased resolution allows the distinction of smaller structures, </w:t>
      </w:r>
      <w:r>
        <w:rPr>
          <w:b w:val="false"/>
          <w:bCs w:val="false"/>
          <w:sz w:val="22"/>
          <w:szCs w:val="22"/>
          <w:shd w:fill="FFFFFF" w:val="clear"/>
          <w:lang w:val="en-US"/>
        </w:rPr>
        <w:t>STED can be used in spectroscopy, which promises more accurate and versatile 2D FCS measurements</w:t>
      </w:r>
      <w:r>
        <w:rPr>
          <w:b w:val="false"/>
          <w:bCs w:val="false"/>
          <w:sz w:val="22"/>
          <w:szCs w:val="22"/>
          <w:lang w:val="en-US"/>
        </w:rPr>
        <w:t>. “</w:t>
      </w:r>
      <w:r>
        <w:rPr>
          <w:b w:val="false"/>
          <w:bCs w:val="false"/>
          <w:sz w:val="22"/>
          <w:szCs w:val="22"/>
          <w:shd w:fill="FFFFFF" w:val="clear"/>
          <w:lang w:val="en-US"/>
        </w:rPr>
        <w:t xml:space="preserve">The outstanding timing accuracy of PicoQuant's products is a perfect match for STED super-resolution,” says Rainer Erdmann, Managing Director of PicoQuant GmbH. “Our customers will greatly benefit from this exciting add-on.” </w:t>
      </w:r>
    </w:p>
    <w:p>
      <w:pPr>
        <w:pStyle w:val="style0"/>
        <w:spacing w:after="0" w:before="0" w:line="300" w:lineRule="auto"/>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line="300" w:lineRule="auto"/>
        <w:ind w:hanging="0" w:left="0" w:right="0"/>
        <w:contextualSpacing w:val="false"/>
        <w:rPr>
          <w:b w:val="false"/>
          <w:bCs w:val="false"/>
          <w:i w:val="false"/>
          <w:iCs w:val="false"/>
          <w:sz w:val="22"/>
          <w:szCs w:val="22"/>
          <w:u w:val="none"/>
          <w:lang w:bidi="zxx-" w:eastAsia="de-DE" w:val="en-US"/>
        </w:rPr>
      </w:pPr>
      <w:r>
        <w:rPr>
          <w:b w:val="false"/>
          <w:bCs w:val="false"/>
          <w:i w:val="false"/>
          <w:iCs w:val="false"/>
          <w:sz w:val="22"/>
          <w:szCs w:val="22"/>
          <w:lang w:val="en-US"/>
        </w:rPr>
        <w:t>STED microscopy reaches spatial resolutions well below 100 nm by de-exciting fluorophores in the outer region of the excitation focus. This is achieved by shaping the de-exciting (STED) laser into a donut shape with the excitation laser in the center. The shape and intensity of the STED laser define the resolution of the microscope.</w:t>
      </w:r>
      <w:r>
        <w:rPr>
          <w:b w:val="false"/>
          <w:bCs w:val="false"/>
          <w:i w:val="false"/>
          <w:iCs w:val="false"/>
          <w:sz w:val="22"/>
          <w:szCs w:val="22"/>
          <w:u w:val="none"/>
          <w:lang w:bidi="zxx-" w:eastAsia="de-DE" w:val="en-US"/>
        </w:rPr>
        <w:t xml:space="preserve"> </w:t>
      </w:r>
    </w:p>
    <w:p>
      <w:pPr>
        <w:pStyle w:val="style0"/>
        <w:spacing w:after="0" w:before="0" w:line="300" w:lineRule="auto"/>
        <w:ind w:hanging="0" w:left="0" w:right="0"/>
        <w:contextualSpacing w:val="false"/>
        <w:rPr>
          <w:b w:val="false"/>
          <w:bCs w:val="false"/>
          <w:i/>
          <w:iCs/>
          <w:sz w:val="22"/>
          <w:szCs w:val="22"/>
          <w:u w:val="none"/>
          <w:lang w:bidi="zxx-" w:eastAsia="de-DE" w:val="en-US"/>
        </w:rPr>
      </w:pPr>
      <w:r>
        <w:rPr>
          <w:b w:val="false"/>
          <w:bCs w:val="false"/>
          <w:i/>
          <w:iCs/>
          <w:sz w:val="22"/>
          <w:szCs w:val="22"/>
          <w:u w:val="none"/>
          <w:lang w:bidi="zxx-" w:eastAsia="de-DE" w:val="en-US"/>
        </w:rPr>
      </w:r>
    </w:p>
    <w:p>
      <w:pPr>
        <w:pStyle w:val="style0"/>
        <w:spacing w:after="0" w:before="0" w:line="300" w:lineRule="auto"/>
        <w:ind w:hanging="0" w:left="0" w:right="0"/>
        <w:contextualSpacing w:val="false"/>
        <w:rPr>
          <w:b w:val="false"/>
          <w:bCs w:val="false"/>
          <w:sz w:val="22"/>
          <w:szCs w:val="22"/>
          <w:u w:val="none"/>
          <w:lang w:bidi="zxx-" w:eastAsia="de-DE" w:val="en-US"/>
        </w:rPr>
      </w:pPr>
      <w:r>
        <w:rPr>
          <w:b w:val="false"/>
          <w:bCs w:val="false"/>
          <w:sz w:val="22"/>
          <w:szCs w:val="22"/>
          <w:u w:val="none"/>
          <w:lang w:bidi="zxx-" w:eastAsia="de-DE" w:val="en-US"/>
        </w:rPr>
        <w:t>Externally triggered lasers and confocal detection with time-correlated single photon counting (TCSPC) allow for various excitation schemes and detection modalities. This inherent flexibility makes it easy to modify experiments to address highly specific biological questions. As an open platform, the MicroTime 200 can also be combined with several other devices, such as an atomic force microscope (AFM), a spectrometer, or a cryo-chamber.</w:t>
      </w:r>
    </w:p>
    <w:p>
      <w:pPr>
        <w:pStyle w:val="style0"/>
        <w:spacing w:after="0" w:before="0" w:line="300" w:lineRule="auto"/>
        <w:ind w:hanging="0" w:left="0" w:right="0"/>
        <w:contextualSpacing w:val="false"/>
        <w:rPr>
          <w:b w:val="false"/>
          <w:bCs w:val="false"/>
          <w:sz w:val="22"/>
          <w:szCs w:val="22"/>
          <w:u w:val="none"/>
          <w:lang w:bidi="zxx-" w:eastAsia="de-DE" w:val="en-US"/>
        </w:rPr>
      </w:pPr>
      <w:r>
        <w:rPr>
          <w:b w:val="false"/>
          <w:bCs w:val="false"/>
          <w:sz w:val="22"/>
          <w:szCs w:val="22"/>
          <w:u w:val="none"/>
          <w:lang w:bidi="zxx-" w:eastAsia="de-DE" w:val="en-US"/>
        </w:rPr>
      </w:r>
    </w:p>
    <w:p>
      <w:pPr>
        <w:pStyle w:val="style0"/>
        <w:suppressAutoHyphens w:val="false"/>
        <w:spacing w:after="0" w:before="0" w:line="300" w:lineRule="auto"/>
        <w:ind w:hanging="0" w:left="0" w:right="0"/>
        <w:contextualSpacing w:val="false"/>
        <w:jc w:val="left"/>
        <w:rPr>
          <w:sz w:val="22"/>
          <w:szCs w:val="22"/>
        </w:rPr>
      </w:pPr>
      <w:r>
        <w:rPr>
          <w:sz w:val="22"/>
          <w:szCs w:val="22"/>
        </w:rPr>
      </w:r>
    </w:p>
    <w:p>
      <w:pPr>
        <w:pStyle w:val="style0"/>
        <w:suppressAutoHyphens w:val="false"/>
        <w:spacing w:after="0" w:before="0" w:line="300" w:lineRule="auto"/>
        <w:ind w:hanging="0" w:left="0" w:right="0"/>
        <w:contextualSpacing w:val="false"/>
        <w:jc w:val="left"/>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de-DE"/>
        </w:rPr>
      </w:pPr>
      <w:r>
        <w:rPr>
          <w:b/>
          <w:bCs/>
          <w:sz w:val="22"/>
          <w:szCs w:val="22"/>
          <w:lang w:val="de-DE"/>
        </w:rPr>
      </w:r>
    </w:p>
    <w:p>
      <w:pPr>
        <w:pStyle w:val="style0"/>
        <w:spacing w:after="0" w:before="0"/>
        <w:ind w:hanging="0" w:left="0" w:right="0"/>
        <w:contextualSpacing w:val="false"/>
        <w:rPr>
          <w:b/>
          <w:bCs/>
          <w:sz w:val="22"/>
          <w:szCs w:val="22"/>
          <w:lang w:val="en-US"/>
        </w:rPr>
      </w:pPr>
      <w:r>
        <w:rPr>
          <w:b/>
          <w:bCs/>
          <w:sz w:val="22"/>
          <w:szCs w:val="22"/>
          <w:lang w:val="en-US"/>
        </w:rPr>
        <w:t>About PicoQuant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 xml:space="preserve">PicoQuant GmbH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50 people. Since April 2008 Sales and Support in North America is handled by PicoQuant Photonics North America Inc. </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bCs/>
          <w:sz w:val="22"/>
          <w:szCs w:val="22"/>
          <w:lang w:val="en-US"/>
        </w:rPr>
      </w:pPr>
      <w:r>
        <w:rPr>
          <w:b/>
          <w:bCs/>
          <w:sz w:val="22"/>
          <w:szCs w:val="22"/>
          <w:lang w:val="en-US"/>
        </w:rPr>
        <w:t>Attachment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Picture of the time-resolved confocal microscope MicroTime 200</w:t>
      </w:r>
    </w:p>
    <w:p>
      <w:pPr>
        <w:pStyle w:val="style0"/>
        <w:spacing w:after="0" w:before="0"/>
        <w:ind w:hanging="0" w:left="0" w:right="0"/>
        <w:contextualSpacing w:val="false"/>
        <w:rPr>
          <w:b w:val="false"/>
          <w:bCs w:val="false"/>
          <w:sz w:val="22"/>
          <w:szCs w:val="22"/>
          <w:shd w:fill="FFFFFF" w:val="clear"/>
          <w:lang w:val="en-US"/>
        </w:rPr>
      </w:pPr>
      <w:r>
        <w:rPr>
          <w:b w:val="false"/>
          <w:bCs w:val="false"/>
          <w:sz w:val="22"/>
          <w:szCs w:val="22"/>
          <w:shd w:fill="FFFFFF" w:val="clear"/>
          <w:lang w:val="en-US"/>
        </w:rPr>
        <w:t>Caption: The time-resolved confocal microscope MicroTime 200 with STED add-on enables spatial resolutions well beyond the diffraction limit.</w:t>
      </w:r>
    </w:p>
    <w:p>
      <w:pPr>
        <w:pStyle w:val="style0"/>
        <w:spacing w:after="0" w:before="0"/>
        <w:ind w:hanging="0" w:left="0" w:right="0"/>
        <w:contextualSpacing w:val="false"/>
        <w:rPr>
          <w:b w:val="false"/>
          <w:bCs w:val="false"/>
          <w:sz w:val="22"/>
          <w:szCs w:val="22"/>
          <w:shd w:fill="FFFFFF" w:val="clear"/>
          <w:lang w:val="en-US"/>
        </w:rPr>
      </w:pPr>
      <w:r>
        <w:rPr>
          <w:b w:val="false"/>
          <w:bCs w:val="false"/>
          <w:sz w:val="22"/>
          <w:szCs w:val="22"/>
          <w:shd w:fill="FFFFFF" w:val="clear"/>
          <w:lang w:val="en-US"/>
        </w:rPr>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bCs/>
          <w:sz w:val="22"/>
          <w:szCs w:val="22"/>
          <w:lang w:val="en-US"/>
        </w:rPr>
      </w:pPr>
      <w:r>
        <w:rPr>
          <w:b/>
          <w:bCs/>
          <w:sz w:val="22"/>
          <w:szCs w:val="22"/>
          <w:lang w:val="en-US"/>
        </w:rPr>
        <w:t>Contact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Nicole Bornemann</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Team Leader Marketing</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Tel.: +49-30-6392-6942</w:t>
      </w:r>
    </w:p>
    <w:p>
      <w:pPr>
        <w:pStyle w:val="style0"/>
        <w:spacing w:after="0" w:before="0"/>
        <w:ind w:hanging="0" w:left="0" w:right="0"/>
        <w:contextualSpacing w:val="false"/>
        <w:rPr>
          <w:rStyle w:val="style15"/>
          <w:sz w:val="22"/>
          <w:szCs w:val="22"/>
          <w:lang w:val="en-US"/>
        </w:rPr>
      </w:pPr>
      <w:hyperlink r:id="rId2">
        <w:r>
          <w:rPr>
            <w:rStyle w:val="style15"/>
            <w:sz w:val="22"/>
            <w:szCs w:val="22"/>
            <w:lang w:val="en-US"/>
          </w:rPr>
          <w:t>mkt@picoquant.com</w:t>
        </w:r>
      </w:hyperlink>
    </w:p>
    <w:p>
      <w:pPr>
        <w:pStyle w:val="style0"/>
        <w:spacing w:after="0" w:before="0"/>
        <w:ind w:hanging="0" w:left="0" w:right="0"/>
        <w:contextualSpacing w:val="false"/>
        <w:rPr>
          <w:sz w:val="22"/>
          <w:szCs w:val="22"/>
          <w:lang w:val="en-US"/>
        </w:rPr>
      </w:pPr>
      <w:r>
        <w:rPr>
          <w:sz w:val="22"/>
          <w:szCs w:val="22"/>
          <w:lang w:val="en-US"/>
        </w:rPr>
        <w:t>www.picoquant.com</w:t>
      </w:r>
    </w:p>
    <w:p>
      <w:pPr>
        <w:pStyle w:val="style0"/>
        <w:rPr/>
      </w:pPr>
      <w:r>
        <w:rPr/>
      </w:r>
    </w:p>
    <w:sectPr>
      <w:headerReference r:id="rId3" w:type="default"/>
      <w:footerReference r:id="rId4" w:type="even"/>
      <w:footerReference r:id="rId5" w:type="default"/>
      <w:type w:val="nextPage"/>
      <w:pgSz w:h="16838" w:w="11906"/>
      <w:pgMar w:bottom="1822" w:footer="567" w:gutter="0" w:header="1134" w:left="1361" w:right="1134" w:top="1700"/>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2"/>
      <w:rPr>
        <w:sz w:val="4"/>
        <w:szCs w:val="4"/>
      </w:rPr>
    </w:pPr>
    <w:r>
      <w:rPr>
        <w:sz w:val="4"/>
        <w:szCs w:val="4"/>
      </w:rPr>
    </w:r>
  </w:p>
  <w:tbl>
    <w:tblPr>
      <w:jc w:val="left"/>
      <w:tblInd w:type="dxa" w:w="12"/>
      <w:tblBorders>
        <w:top w:val="nil"/>
        <w:left w:val="nil"/>
        <w:bottom w:val="nil"/>
        <w:insideH w:val="nil"/>
        <w:right w:val="nil"/>
        <w:insideV w:val="nil"/>
      </w:tblBorders>
      <w:tblCellMar>
        <w:top w:type="dxa" w:w="0"/>
        <w:left w:type="dxa" w:w="0"/>
        <w:bottom w:type="dxa" w:w="0"/>
        <w:right w:type="dxa" w:w="0"/>
      </w:tblCellMar>
    </w:tblPr>
    <w:tblGrid>
      <w:gridCol w:w="2121"/>
      <w:gridCol w:w="2273"/>
      <w:gridCol w:w="2618"/>
      <w:gridCol w:w="2924"/>
    </w:tblGrid>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PicoQuant GmbH</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Tel:</w:t>
            <w:tab/>
            <w:t>+49 30 6392 6929</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Bank: Berliner Volksbank, 10892 Berlin</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Managing Director: Rainer Erdmann</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Rudower Chaussee 29 (IGZ)</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Fax:</w:t>
            <w:tab/>
            <w:t>+49 30 6392 6561</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Account.-No.: 5610921002</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HRB 60901, AG Berlin-Charlottenburg</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12489 Berlin</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E-mail:</w:t>
            <w:tab/>
            <w:t>info@picoquant.com</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Sort-Code:1009000</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Tax-ID.: 37/464/20131</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Germany</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http://www.picoquant.com</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IBAN: DE86100900005610921002</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VAT-ID: DE812140373</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Shipping address: Kekuléstr. 7</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SWIFT Code: BEVODEBB</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WEEE-Reg.-No.: DE964574</w:t>
          </w:r>
        </w:p>
      </w:tc>
    </w:tr>
  </w:tbl>
  <w:p>
    <w:pPr>
      <w:pStyle w:val="style0"/>
      <w:rPr>
        <w:sz w:val="4"/>
        <w:szCs w:val="4"/>
      </w:rPr>
    </w:pPr>
    <w:r>
      <w:rPr>
        <w:sz w:val="4"/>
        <w:szCs w:val="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2"/>
      <w:rPr>
        <w:sz w:val="4"/>
        <w:szCs w:val="4"/>
      </w:rPr>
    </w:pPr>
    <w:r>
      <w:rPr>
        <w:sz w:val="4"/>
        <w:szCs w:val="4"/>
      </w:rPr>
    </w:r>
  </w:p>
  <w:tbl>
    <w:tblPr>
      <w:jc w:val="left"/>
      <w:tblInd w:type="dxa" w:w="12"/>
      <w:tblBorders>
        <w:top w:val="nil"/>
        <w:left w:val="nil"/>
        <w:bottom w:val="nil"/>
        <w:insideH w:val="nil"/>
        <w:right w:val="nil"/>
        <w:insideV w:val="nil"/>
      </w:tblBorders>
      <w:tblCellMar>
        <w:top w:type="dxa" w:w="0"/>
        <w:left w:type="dxa" w:w="0"/>
        <w:bottom w:type="dxa" w:w="0"/>
        <w:right w:type="dxa" w:w="0"/>
      </w:tblCellMar>
    </w:tblPr>
    <w:tblGrid>
      <w:gridCol w:w="2121"/>
      <w:gridCol w:w="2273"/>
      <w:gridCol w:w="2618"/>
      <w:gridCol w:w="2924"/>
    </w:tblGrid>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PicoQuant GmbH</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Tel:</w:t>
            <w:tab/>
            <w:t>+49 30 6392 6929</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Bank: Berliner Volksbank, 10892 Berlin</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Managing Director: Rainer Erdmann</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Rudower Chaussee 29 (IGZ)</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Fax:</w:t>
            <w:tab/>
            <w:t>+49 30 6392 6561</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Account.-No.: 5610921002</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HRB 60901, AG Berlin-Charlottenburg</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12489 Berlin</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E-mail:</w:t>
            <w:tab/>
            <w:t>info@picoquant.com</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Sort-Code:1009000</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Tax-ID.: 37/464/20131</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Germany</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http://www.picoquant.com</w:t>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IBAN: DE86100900005610921002</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VAT-ID: DE812140373</w:t>
          </w:r>
        </w:p>
      </w:tc>
    </w:tr>
    <w:tr>
      <w:trPr>
        <w:trHeight w:hRule="exact" w:val="176"/>
        <w:cantSplit w:val="false"/>
      </w:trPr>
      <w:tc>
        <w:tcPr>
          <w:tcW w:type="dxa" w:w="2121"/>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Shipping address: Kekuléstr. 7</w:t>
          </w:r>
        </w:p>
      </w:tc>
      <w:tc>
        <w:tcPr>
          <w:tcW w:type="dxa" w:w="2273"/>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r>
        </w:p>
      </w:tc>
      <w:tc>
        <w:tcPr>
          <w:tcW w:type="dxa" w:w="2618"/>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SWIFT Code: BEVODEBB</w:t>
          </w:r>
        </w:p>
      </w:tc>
      <w:tc>
        <w:tcPr>
          <w:tcW w:type="dxa" w:w="2924"/>
          <w:tcBorders>
            <w:top w:val="nil"/>
            <w:left w:val="nil"/>
            <w:bottom w:val="nil"/>
            <w:right w:val="nil"/>
          </w:tcBorders>
          <w:shd w:fill="FFFFFF" w:val="clear"/>
        </w:tcPr>
        <w:p>
          <w:pPr>
            <w:pStyle w:val="style23"/>
            <w:spacing w:after="120" w:before="0"/>
            <w:contextualSpacing w:val="false"/>
            <w:rPr>
              <w:color w:val="808080"/>
              <w:sz w:val="14"/>
              <w:szCs w:val="14"/>
            </w:rPr>
          </w:pPr>
          <w:r>
            <w:rPr>
              <w:color w:val="808080"/>
              <w:sz w:val="14"/>
              <w:szCs w:val="14"/>
            </w:rPr>
            <w:t>WEEE-Reg.-No.: DE964574</w:t>
          </w:r>
        </w:p>
      </w:tc>
    </w:tr>
  </w:tbl>
  <w:p>
    <w:pPr>
      <w:pStyle w:val="style0"/>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4"/>
      <w:rPr>
        <w:b/>
        <w:bCs/>
        <w:sz w:val="42"/>
        <w:szCs w:val="42"/>
      </w:rPr>
    </w:pPr>
    <w:r>
      <w:rPr>
        <w:b/>
        <w:bCs/>
        <w:sz w:val="42"/>
        <w:szCs w:val="42"/>
      </w:rPr>
      <w:t>Press Release</w:t>
      <w:drawing>
        <wp:anchor allowOverlap="1" behindDoc="1" distB="0" distL="0" distR="0" distT="0" layoutInCell="1" locked="0" relativeHeight="1" simplePos="0">
          <wp:simplePos x="0" y="0"/>
          <wp:positionH relativeFrom="column">
            <wp:posOffset>4840605</wp:posOffset>
          </wp:positionH>
          <wp:positionV relativeFrom="paragraph">
            <wp:posOffset>-10160</wp:posOffset>
          </wp:positionV>
          <wp:extent cx="1165225" cy="111569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1"/>
                  <a:srcRect/>
                  <a:stretch>
                    <a:fillRect/>
                  </a:stretch>
                </pic:blipFill>
                <pic:spPr bwMode="auto">
                  <a:xfrm>
                    <a:off x="0" y="0"/>
                    <a:ext cx="1165225" cy="1115695"/>
                  </a:xfrm>
                  <a:prstGeom prst="rect">
                    <a:avLst/>
                  </a:prstGeom>
                  <a:noFill/>
                  <a:ln w="9525">
                    <a:noFill/>
                    <a:miter lim="800000"/>
                    <a:headEnd/>
                    <a:tailEnd/>
                  </a:ln>
                </pic:spPr>
              </pic:pic>
            </a:graphicData>
          </a:graphic>
        </wp:anchor>
      </w:drawing>
    </w:r>
  </w:p>
</w:hdr>
</file>

<file path=word/settings.xml><?xml version="1.0" encoding="utf-8"?>
<w:settings xmlns:w="http://schemas.openxmlformats.org/wordprocessingml/2006/main">
  <w:zoom w:percent="140"/>
  <w:defaultTabStop w:val="709"/>
  <w:evenAndOddHeaders/>
</w:settings>
</file>

<file path=word/styles.xml><?xml version="1.0" encoding="utf-8"?>
<w:styles xmlns:w="http://schemas.openxmlformats.org/wordprocessingml/2006/main">
  <w:style w:styleId="style0" w:type="paragraph">
    <w:name w:val="Normal"/>
    <w:next w:val="style0"/>
    <w:pPr>
      <w:widowControl w:val="false"/>
      <w:suppressAutoHyphens w:val="true"/>
      <w:overflowPunct w:val="false"/>
    </w:pPr>
    <w:rPr>
      <w:rFonts w:ascii="Arial" w:cs="Tahoma" w:eastAsia="Lucida Sans Unicode" w:hAnsi="Arial"/>
      <w:color w:val="00000A"/>
      <w:sz w:val="24"/>
      <w:szCs w:val="24"/>
      <w:lang w:bidi="hi-IN" w:eastAsia="zh-CN" w:val="en-US"/>
    </w:rPr>
  </w:style>
  <w:style w:styleId="style15" w:type="character">
    <w:name w:val="Internetlink"/>
    <w:next w:val="style15"/>
    <w:rPr>
      <w:color w:val="000080"/>
      <w:u w:val="single"/>
      <w:lang w:bidi="zxx-" w:eastAsia="zxx-" w:val="zxx-"/>
    </w:rPr>
  </w:style>
  <w:style w:styleId="style16" w:type="paragraph">
    <w:name w:val="Überschrift"/>
    <w:basedOn w:val="style0"/>
    <w:next w:val="style17"/>
    <w:pPr>
      <w:keepNext/>
      <w:spacing w:after="120" w:before="240"/>
      <w:contextualSpacing w:val="false"/>
    </w:pPr>
    <w:rPr>
      <w:rFonts w:ascii="Arial" w:cs="Tahoma" w:eastAsia="Lucida Sans Unicode" w:hAnsi="Arial"/>
      <w:sz w:val="28"/>
      <w:szCs w:val="28"/>
    </w:rPr>
  </w:style>
  <w:style w:styleId="style17" w:type="paragraph">
    <w:name w:val="Textkörper"/>
    <w:basedOn w:val="style0"/>
    <w:next w:val="style17"/>
    <w:pPr>
      <w:spacing w:after="120" w:before="0"/>
      <w:contextualSpacing w:val="false"/>
    </w:pPr>
    <w:rPr/>
  </w:style>
  <w:style w:styleId="style18" w:type="paragraph">
    <w:name w:val="Liste"/>
    <w:basedOn w:val="style17"/>
    <w:next w:val="style18"/>
    <w:pPr/>
    <w:rPr>
      <w:rFonts w:ascii="Arial" w:cs="Tahoma" w:hAnsi="Arial"/>
    </w:rPr>
  </w:style>
  <w:style w:styleId="style19" w:type="paragraph">
    <w:name w:val="Beschriftung"/>
    <w:basedOn w:val="style0"/>
    <w:next w:val="style19"/>
    <w:pPr>
      <w:suppressLineNumbers/>
      <w:spacing w:after="120" w:before="120"/>
      <w:contextualSpacing w:val="false"/>
    </w:pPr>
    <w:rPr>
      <w:rFonts w:ascii="Arial" w:cs="Tahoma" w:hAnsi="Arial"/>
      <w:i/>
      <w:iCs/>
      <w:sz w:val="24"/>
      <w:szCs w:val="24"/>
    </w:rPr>
  </w:style>
  <w:style w:styleId="style20" w:type="paragraph">
    <w:name w:val="Verzeichnis"/>
    <w:basedOn w:val="style0"/>
    <w:next w:val="style20"/>
    <w:pPr>
      <w:suppressLineNumbers/>
    </w:pPr>
    <w:rPr>
      <w:rFonts w:ascii="Arial" w:cs="Tahoma" w:hAnsi="Arial"/>
    </w:rPr>
  </w:style>
  <w:style w:styleId="style21" w:type="paragraph">
    <w:name w:val="Kopfzeile"/>
    <w:basedOn w:val="style0"/>
    <w:next w:val="style21"/>
    <w:pPr>
      <w:suppressLineNumbers/>
      <w:tabs>
        <w:tab w:leader="none" w:pos="4819" w:val="center"/>
        <w:tab w:leader="none" w:pos="9638" w:val="right"/>
      </w:tabs>
    </w:pPr>
    <w:rPr/>
  </w:style>
  <w:style w:styleId="style22" w:type="paragraph">
    <w:name w:val="Fußzeile"/>
    <w:basedOn w:val="style0"/>
    <w:next w:val="style22"/>
    <w:pPr>
      <w:suppressLineNumbers/>
      <w:tabs>
        <w:tab w:leader="none" w:pos="4819" w:val="center"/>
        <w:tab w:leader="none" w:pos="9638" w:val="right"/>
      </w:tabs>
    </w:pPr>
    <w:rPr/>
  </w:style>
  <w:style w:styleId="style23" w:type="paragraph">
    <w:name w:val="Tabellen Inhalt"/>
    <w:basedOn w:val="style17"/>
    <w:next w:val="style23"/>
    <w:pPr>
      <w:suppressLineNumbers/>
    </w:pPr>
    <w:rPr/>
  </w:style>
  <w:style w:styleId="style24" w:type="paragraph">
    <w:name w:val="Rahmeninhalt"/>
    <w:basedOn w:val="style0"/>
    <w:next w:val="style2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kt@picoquant.com"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otalTime>13612</TotalTime>
  <Application>LibreOffice/4.1.2.3$Windows_x86 LibreOffice_project/40b2d7fde7e8d2d7bc5a449dc65df4d08a7dd38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2014-06-12T10:35:28Z</dcterms:created>
  <cp:lastModifiedBy>Nicole Bornemann</cp:lastModifiedBy>
  <dcterms:modified xsi:type="dcterms:W3CDTF">2014-06-13T14:46:23Z</dcterms:modified>
  <cp:revision>16</cp:revision>
</cp:coreProperties>
</file>