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media/image1.png" ContentType="image/png"/>
  <Override PartName="/word/header1.xml" ContentType="application/vnd.openxmlformats-officedocument.wordprocessingml.header+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style0"/>
        <w:spacing w:after="0" w:before="0" w:line="300" w:lineRule="auto"/>
        <w:ind w:hanging="0" w:left="0" w:right="0"/>
        <w:contextualSpacing w:val="false"/>
        <w:rPr>
          <w:b/>
          <w:bCs/>
          <w:i w:val="false"/>
          <w:sz w:val="42"/>
          <w:szCs w:val="28"/>
        </w:rPr>
      </w:pPr>
      <w:r>
        <w:rPr>
          <w:b/>
          <w:bCs/>
          <w:i w:val="false"/>
          <w:sz w:val="42"/>
          <w:szCs w:val="28"/>
        </w:rPr>
        <w:t>Press Release</w:t>
        <w:drawing>
          <wp:anchor allowOverlap="1" behindDoc="1" distB="0" distL="0" distR="0" distT="0" layoutInCell="1" locked="0" relativeHeight="0" simplePos="0">
            <wp:simplePos x="0" y="0"/>
            <wp:positionH relativeFrom="column">
              <wp:posOffset>4840605</wp:posOffset>
            </wp:positionH>
            <wp:positionV relativeFrom="paragraph">
              <wp:posOffset>-10160</wp:posOffset>
            </wp:positionV>
            <wp:extent cx="1165225" cy="1115695"/>
            <wp:effectExtent b="0" l="0" r="0" t="0"/>
            <wp:wrapNone/>
            <wp:docPr descr="" id="0"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descr="" id="0" name="Picture"/>
                    <pic:cNvPicPr>
                      <a:picLocks noChangeArrowheads="1" noChangeAspect="1"/>
                    </pic:cNvPicPr>
                  </pic:nvPicPr>
                  <pic:blipFill>
                    <a:blip r:embed="rId2"/>
                    <a:srcRect/>
                    <a:stretch>
                      <a:fillRect/>
                    </a:stretch>
                  </pic:blipFill>
                  <pic:spPr bwMode="auto">
                    <a:xfrm>
                      <a:off x="0" y="0"/>
                      <a:ext cx="1165225" cy="1115695"/>
                    </a:xfrm>
                    <a:prstGeom prst="rect">
                      <a:avLst/>
                    </a:prstGeom>
                    <a:noFill/>
                    <a:ln w="9525">
                      <a:noFill/>
                      <a:miter lim="800000"/>
                      <a:headEnd/>
                      <a:tailEnd/>
                    </a:ln>
                  </pic:spPr>
                </pic:pic>
              </a:graphicData>
            </a:graphic>
          </wp:anchor>
        </w:drawing>
      </w:r>
    </w:p>
    <w:p>
      <w:pPr>
        <w:pStyle w:val="style0"/>
        <w:spacing w:after="0" w:before="0" w:line="100" w:lineRule="atLeast"/>
        <w:ind w:hanging="0" w:left="0" w:right="0"/>
        <w:contextualSpacing w:val="false"/>
        <w:rPr/>
      </w:pPr>
      <w:r>
        <w:rPr/>
      </w:r>
    </w:p>
    <w:p>
      <w:pPr>
        <w:pStyle w:val="style0"/>
        <w:spacing w:after="0" w:before="0" w:line="100" w:lineRule="atLeast"/>
        <w:ind w:hanging="0" w:left="0" w:right="0"/>
        <w:contextualSpacing w:val="false"/>
        <w:rPr>
          <w:rFonts w:cs="Arial" w:eastAsia="Arial"/>
          <w:b w:val="false"/>
          <w:bCs w:val="false"/>
          <w:i w:val="false"/>
          <w:iCs w:val="false"/>
          <w:sz w:val="22"/>
          <w:szCs w:val="22"/>
        </w:rPr>
      </w:pPr>
      <w:r>
        <w:rPr>
          <w:rFonts w:cs="Arial" w:eastAsia="Arial"/>
          <w:b w:val="false"/>
          <w:bCs w:val="false"/>
          <w:i w:val="false"/>
          <w:iCs w:val="false"/>
          <w:sz w:val="22"/>
          <w:szCs w:val="22"/>
        </w:rPr>
        <w:t>For immediate release</w:t>
      </w:r>
    </w:p>
    <w:p>
      <w:pPr>
        <w:pStyle w:val="style0"/>
        <w:spacing w:line="100" w:lineRule="atLeast"/>
        <w:rPr>
          <w:rFonts w:cs="Arial" w:eastAsia="Arial"/>
          <w:b w:val="false"/>
          <w:bCs w:val="false"/>
          <w:i w:val="false"/>
          <w:iCs w:val="false"/>
          <w:color w:val="000000"/>
          <w:sz w:val="22"/>
          <w:szCs w:val="22"/>
        </w:rPr>
      </w:pPr>
      <w:r>
        <w:rPr>
          <w:rFonts w:cs="Arial" w:eastAsia="Arial"/>
          <w:b w:val="false"/>
          <w:bCs w:val="false"/>
          <w:i w:val="false"/>
          <w:iCs w:val="false"/>
          <w:color w:val="000000"/>
          <w:sz w:val="22"/>
          <w:szCs w:val="22"/>
        </w:rPr>
        <w:t>20 December 2013</w:t>
      </w:r>
    </w:p>
    <w:p>
      <w:pPr>
        <w:pStyle w:val="style0"/>
        <w:spacing w:after="0" w:before="0" w:line="300" w:lineRule="auto"/>
        <w:ind w:hanging="0" w:left="0" w:right="0"/>
        <w:contextualSpacing w:val="false"/>
        <w:rPr>
          <w:b/>
          <w:bCs/>
          <w:sz w:val="28"/>
          <w:szCs w:val="28"/>
        </w:rPr>
      </w:pPr>
      <w:r>
        <w:rPr>
          <w:b/>
          <w:bCs/>
          <w:sz w:val="28"/>
          <w:szCs w:val="28"/>
        </w:rPr>
      </w:r>
    </w:p>
    <w:p>
      <w:pPr>
        <w:pStyle w:val="style0"/>
        <w:spacing w:after="0" w:before="0" w:line="300" w:lineRule="auto"/>
        <w:ind w:hanging="0" w:left="0" w:right="0"/>
        <w:contextualSpacing w:val="false"/>
        <w:rPr>
          <w:b/>
          <w:bCs/>
          <w:sz w:val="28"/>
          <w:szCs w:val="28"/>
        </w:rPr>
      </w:pPr>
      <w:r>
        <w:rPr>
          <w:b/>
          <w:bCs/>
          <w:sz w:val="28"/>
          <w:szCs w:val="28"/>
        </w:rPr>
      </w:r>
    </w:p>
    <w:p>
      <w:pPr>
        <w:pStyle w:val="style0"/>
        <w:spacing w:after="0" w:before="0" w:line="300" w:lineRule="auto"/>
        <w:ind w:hanging="0" w:left="0" w:right="0"/>
        <w:contextualSpacing w:val="false"/>
        <w:rPr>
          <w:b/>
          <w:bCs/>
          <w:sz w:val="28"/>
          <w:szCs w:val="28"/>
        </w:rPr>
      </w:pPr>
      <w:r>
        <w:rPr>
          <w:b/>
          <w:bCs/>
          <w:sz w:val="28"/>
          <w:szCs w:val="28"/>
        </w:rPr>
      </w:r>
    </w:p>
    <w:p>
      <w:pPr>
        <w:pStyle w:val="style0"/>
        <w:spacing w:after="0" w:before="0" w:line="300" w:lineRule="auto"/>
        <w:ind w:hanging="0" w:left="0" w:right="0"/>
        <w:contextualSpacing w:val="false"/>
        <w:rPr/>
      </w:pPr>
      <w:r>
        <w:rPr/>
      </w:r>
    </w:p>
    <w:p>
      <w:pPr>
        <w:pStyle w:val="style0"/>
        <w:spacing w:after="0" w:before="0" w:line="300" w:lineRule="auto"/>
        <w:ind w:hanging="0" w:left="0" w:right="0"/>
        <w:contextualSpacing w:val="false"/>
        <w:rPr>
          <w:rFonts w:cs="Tahoma" w:eastAsia="Lucida Sans Unicode"/>
          <w:b/>
          <w:bCs/>
          <w:color w:val="00000A"/>
          <w:sz w:val="28"/>
          <w:szCs w:val="28"/>
          <w:lang w:bidi="hi-IN" w:eastAsia="zh-CN" w:val="en-US"/>
        </w:rPr>
      </w:pPr>
      <w:r>
        <w:rPr>
          <w:b/>
          <w:bCs/>
          <w:sz w:val="28"/>
          <w:szCs w:val="28"/>
          <w:lang w:val="en-US"/>
        </w:rPr>
        <w:t>PicoQuant releases new TCSPC system</w:t>
      </w:r>
      <w:r>
        <w:rPr>
          <w:rFonts w:cs="Tahoma" w:eastAsia="Lucida Sans Unicode"/>
          <w:b/>
          <w:bCs/>
          <w:color w:val="00000A"/>
          <w:sz w:val="28"/>
          <w:szCs w:val="28"/>
          <w:lang w:bidi="hi-IN" w:eastAsia="zh-CN" w:val="en-US"/>
        </w:rPr>
        <w:t xml:space="preserve"> software for PicoHarp 300</w:t>
      </w:r>
    </w:p>
    <w:p>
      <w:pPr>
        <w:pStyle w:val="style0"/>
        <w:spacing w:after="0" w:before="0" w:line="300" w:lineRule="auto"/>
        <w:ind w:hanging="0" w:left="0" w:right="0"/>
        <w:contextualSpacing w:val="false"/>
        <w:rPr>
          <w:lang w:val="en-US"/>
        </w:rPr>
      </w:pPr>
      <w:r>
        <w:rPr>
          <w:lang w:val="en-US"/>
        </w:rPr>
      </w:r>
    </w:p>
    <w:p>
      <w:pPr>
        <w:pStyle w:val="style0"/>
        <w:spacing w:after="0" w:before="0" w:line="300" w:lineRule="auto"/>
        <w:ind w:hanging="0" w:left="0" w:right="0"/>
        <w:contextualSpacing w:val="false"/>
        <w:rPr>
          <w:b/>
          <w:bCs/>
          <w:sz w:val="22"/>
          <w:szCs w:val="22"/>
          <w:lang w:val="en-US"/>
        </w:rPr>
      </w:pPr>
      <w:r>
        <w:rPr>
          <w:b/>
          <w:bCs/>
          <w:sz w:val="22"/>
          <w:szCs w:val="22"/>
          <w:lang w:val="en-US"/>
        </w:rPr>
        <w:t>A programmable time offset in the new version 3.0 replaces adjustable</w:t>
      </w:r>
    </w:p>
    <w:p>
      <w:pPr>
        <w:pStyle w:val="style0"/>
        <w:spacing w:after="0" w:before="0" w:line="300" w:lineRule="auto"/>
        <w:ind w:hanging="0" w:left="0" w:right="0"/>
        <w:contextualSpacing w:val="false"/>
        <w:rPr>
          <w:b/>
          <w:bCs/>
          <w:sz w:val="22"/>
          <w:szCs w:val="22"/>
          <w:lang w:val="en-US"/>
        </w:rPr>
      </w:pPr>
      <w:r>
        <w:rPr>
          <w:b/>
          <w:bCs/>
          <w:sz w:val="22"/>
          <w:szCs w:val="22"/>
          <w:lang w:val="en-US"/>
        </w:rPr>
        <w:t>cable delays</w:t>
      </w:r>
      <w:r>
        <w:rPr>
          <w:b/>
          <w:bCs/>
          <w:sz w:val="22"/>
          <w:szCs w:val="22"/>
          <w:lang w:val="en-US"/>
        </w:rPr>
        <w:t>.</w:t>
      </w:r>
    </w:p>
    <w:p>
      <w:pPr>
        <w:pStyle w:val="style0"/>
        <w:spacing w:after="0" w:before="0" w:line="300" w:lineRule="auto"/>
        <w:ind w:hanging="0" w:left="0" w:right="0"/>
        <w:contextualSpacing w:val="false"/>
        <w:rPr>
          <w:b/>
          <w:bCs/>
          <w:sz w:val="22"/>
          <w:szCs w:val="22"/>
          <w:lang w:val="en-US"/>
        </w:rPr>
      </w:pPr>
      <w:r>
        <w:rPr>
          <w:b/>
          <w:bCs/>
          <w:sz w:val="22"/>
          <w:szCs w:val="22"/>
          <w:lang w:val="en-US"/>
        </w:rPr>
      </w:r>
    </w:p>
    <w:p>
      <w:pPr>
        <w:pStyle w:val="style0"/>
        <w:spacing w:after="0" w:before="0" w:line="300" w:lineRule="auto"/>
        <w:ind w:hanging="0" w:left="0" w:right="0"/>
        <w:contextualSpacing w:val="false"/>
        <w:rPr>
          <w:b/>
          <w:bCs/>
          <w:sz w:val="22"/>
          <w:szCs w:val="22"/>
          <w:lang w:val="en-US"/>
        </w:rPr>
      </w:pPr>
      <w:r>
        <w:rPr>
          <w:b/>
          <w:bCs/>
          <w:sz w:val="22"/>
          <w:szCs w:val="22"/>
          <w:lang w:val="en-US"/>
        </w:rPr>
      </w:r>
    </w:p>
    <w:p>
      <w:pPr>
        <w:pStyle w:val="style0"/>
        <w:spacing w:after="0" w:before="0" w:line="300" w:lineRule="auto"/>
        <w:ind w:hanging="0" w:left="0" w:right="0"/>
        <w:contextualSpacing w:val="false"/>
        <w:rPr>
          <w:b w:val="false"/>
          <w:bCs w:val="false"/>
          <w:sz w:val="22"/>
          <w:szCs w:val="22"/>
          <w:lang w:val="en-US"/>
        </w:rPr>
      </w:pPr>
      <w:r>
        <w:rPr>
          <w:b/>
          <w:bCs/>
          <w:sz w:val="22"/>
          <w:szCs w:val="22"/>
          <w:lang w:val="en-US"/>
        </w:rPr>
        <w:t>Berlin (German</w:t>
      </w:r>
      <w:r>
        <w:rPr>
          <w:b/>
          <w:bCs/>
          <w:color w:val="000000"/>
          <w:sz w:val="22"/>
          <w:szCs w:val="22"/>
          <w:lang w:val="en-US"/>
        </w:rPr>
        <w:t xml:space="preserve">y), </w:t>
      </w:r>
      <w:r>
        <w:rPr>
          <w:b/>
          <w:bCs/>
          <w:color w:val="000000"/>
          <w:sz w:val="22"/>
          <w:szCs w:val="22"/>
          <w:lang w:val="en-US"/>
        </w:rPr>
        <w:t>20</w:t>
      </w:r>
      <w:r>
        <w:rPr>
          <w:b/>
          <w:bCs/>
          <w:color w:val="000000"/>
          <w:sz w:val="22"/>
          <w:szCs w:val="22"/>
          <w:lang w:val="en-US"/>
        </w:rPr>
        <w:t xml:space="preserve"> </w:t>
      </w:r>
      <w:r>
        <w:rPr>
          <w:b/>
          <w:bCs/>
          <w:color w:val="000000"/>
          <w:sz w:val="22"/>
          <w:szCs w:val="22"/>
          <w:lang w:val="en-US"/>
        </w:rPr>
        <w:t xml:space="preserve">December </w:t>
      </w:r>
      <w:r>
        <w:rPr>
          <w:b/>
          <w:bCs/>
          <w:color w:val="000000"/>
          <w:sz w:val="22"/>
          <w:szCs w:val="22"/>
          <w:lang w:val="en-US"/>
        </w:rPr>
        <w:t>201</w:t>
      </w:r>
      <w:r>
        <w:rPr>
          <w:b/>
          <w:bCs/>
          <w:color w:val="000000"/>
          <w:sz w:val="22"/>
          <w:szCs w:val="22"/>
          <w:lang w:val="en-US"/>
        </w:rPr>
        <w:t>3</w:t>
      </w:r>
      <w:r>
        <w:rPr>
          <w:b/>
          <w:bCs/>
          <w:sz w:val="22"/>
          <w:szCs w:val="22"/>
          <w:lang w:val="en-US"/>
        </w:rPr>
        <w:t xml:space="preserve"> </w:t>
      </w:r>
      <w:r>
        <w:rPr>
          <w:b w:val="false"/>
          <w:bCs w:val="false"/>
          <w:sz w:val="22"/>
          <w:szCs w:val="22"/>
          <w:lang w:val="en-US"/>
        </w:rPr>
        <w:t xml:space="preserve">– A new data acquisition software is now available for the PicoHarp 300 Time-Correlated Single Photon Counting (TCSPC) system from PicoQuant. The new version 3.0 provides a programmable time offset in the sync input to replace adjustable cable delays (4 ps resolution, ±100 ns) and a programmable time offset in all PHR 800 router channels to tune for relative delay (4 ps resolution, ±8 ns). It also provides a new future proof file format and export of histograms directly to ASCII files as well as various improvements in usage and user interface. </w:t>
      </w:r>
    </w:p>
    <w:p>
      <w:pPr>
        <w:pStyle w:val="style0"/>
        <w:spacing w:after="0" w:before="0" w:line="300" w:lineRule="auto"/>
        <w:ind w:hanging="0" w:left="0" w:right="0"/>
        <w:contextualSpacing w:val="false"/>
        <w:rPr>
          <w:lang w:val="en-US"/>
        </w:rPr>
      </w:pPr>
      <w:r>
        <w:rPr>
          <w:lang w:val="en-US"/>
        </w:rPr>
      </w:r>
    </w:p>
    <w:p>
      <w:pPr>
        <w:pStyle w:val="style0"/>
        <w:spacing w:after="0" w:before="0" w:line="300" w:lineRule="auto"/>
        <w:ind w:hanging="0" w:left="0" w:right="0"/>
        <w:contextualSpacing w:val="false"/>
        <w:rPr>
          <w:b w:val="false"/>
          <w:bCs w:val="false"/>
          <w:sz w:val="22"/>
          <w:szCs w:val="22"/>
          <w:lang w:val="en-US"/>
        </w:rPr>
      </w:pPr>
      <w:r>
        <w:rPr>
          <w:b w:val="false"/>
          <w:bCs w:val="false"/>
          <w:sz w:val="22"/>
          <w:szCs w:val="22"/>
          <w:lang w:val="en-US"/>
        </w:rPr>
        <w:t>The PicoHarp 300 is based on an entirely new time digitizer with 4 picoseconds resolution, a very short dead time, a processing rate of up to 10 million counts per second, and an extremely low differential non-linearity. Compared to classical TCSPC systems it provides unique features, notably two identical input channels that can operate independently, but with a common crystal time base. Therefore, not only traditional TCSPC histograms for the measurement of fluorescence decays, but also picosecond coincidence correlations can be obtained. This is implemented using the instrument's Time-Tagged Time-Resolved (TTTR) mode, which records the picosecond arrival time of each individual photon.</w:t>
      </w:r>
    </w:p>
    <w:p>
      <w:pPr>
        <w:pStyle w:val="style0"/>
        <w:spacing w:after="0" w:before="0" w:line="300" w:lineRule="auto"/>
        <w:ind w:hanging="0" w:left="0" w:right="0"/>
        <w:contextualSpacing w:val="false"/>
        <w:rPr>
          <w:lang w:val="en-US"/>
        </w:rPr>
      </w:pPr>
      <w:r>
        <w:rPr>
          <w:lang w:val="en-US"/>
        </w:rPr>
      </w:r>
    </w:p>
    <w:p>
      <w:pPr>
        <w:pStyle w:val="style0"/>
        <w:spacing w:after="0" w:before="0" w:line="300" w:lineRule="auto"/>
        <w:ind w:hanging="0" w:left="0" w:right="0"/>
        <w:contextualSpacing w:val="false"/>
        <w:rPr>
          <w:b w:val="false"/>
          <w:bCs w:val="false"/>
          <w:sz w:val="22"/>
          <w:szCs w:val="22"/>
          <w:lang w:val="en-US"/>
        </w:rPr>
      </w:pPr>
      <w:r>
        <w:rPr>
          <w:b w:val="false"/>
          <w:bCs w:val="false"/>
          <w:sz w:val="22"/>
          <w:szCs w:val="22"/>
          <w:lang w:val="en-US"/>
        </w:rPr>
        <w:t xml:space="preserve">For synchronization with other processes external marker signals can be recorded. This allows fluorescence lifetime imaging with virtually all existing imaging devices including laser scanning microscopes (LSMs). Dedicated upgrade kits for widespread microscope models are available. Fluorescence lifetime images can be recorded with these systems at virtually any resolution and size. The new version provides a programmable marker holdoff  time to suppress glitches on the control signals. Fully software controlled Constant Fraction Discriminators (CFD) in all input channels ensure precise and optimized timing for a wide range of detectors. Optional accessories for signal conditioning, such as pre-amplifiers, attenuators and signal inverters allow the adaption to virtually all signal sources practically encountered in the lab. Sync/excitation sources can be as fast as 85 MHz but even very slow sources can be used efficiently with 'multi-stop' acquisition on the detector channel. </w:t>
      </w:r>
    </w:p>
    <w:p>
      <w:pPr>
        <w:pStyle w:val="style0"/>
        <w:spacing w:after="0" w:before="0" w:line="300" w:lineRule="auto"/>
        <w:ind w:hanging="0" w:left="0" w:right="0"/>
        <w:contextualSpacing w:val="false"/>
        <w:rPr/>
      </w:pPr>
      <w:r>
        <w:rPr/>
      </w:r>
    </w:p>
    <w:p>
      <w:pPr>
        <w:sectPr>
          <w:type w:val="nextPage"/>
          <w:pgSz w:h="16838" w:w="11906"/>
          <w:pgMar w:bottom="1134" w:footer="0" w:gutter="0" w:header="0" w:left="1134" w:right="1134" w:top="1134"/>
          <w:pgNumType w:fmt="decimal"/>
          <w:formProt w:val="false"/>
          <w:textDirection w:val="lrTb"/>
          <w:docGrid w:charSpace="0" w:linePitch="240" w:type="default"/>
        </w:sectPr>
        <w:pStyle w:val="style0"/>
        <w:spacing w:after="0" w:before="0" w:line="300" w:lineRule="auto"/>
        <w:ind w:hanging="0" w:left="0" w:right="0"/>
        <w:contextualSpacing w:val="false"/>
        <w:rPr/>
      </w:pPr>
      <w:r>
        <w:rPr/>
      </w:r>
    </w:p>
    <w:p>
      <w:pPr>
        <w:pStyle w:val="style0"/>
        <w:spacing w:after="0" w:before="0" w:line="300" w:lineRule="auto"/>
        <w:ind w:hanging="0" w:left="0" w:right="0"/>
        <w:contextualSpacing w:val="false"/>
        <w:rPr>
          <w:b w:val="false"/>
          <w:bCs w:val="false"/>
          <w:sz w:val="22"/>
          <w:szCs w:val="22"/>
          <w:lang w:val="en-US"/>
        </w:rPr>
      </w:pPr>
      <w:r>
        <w:rPr>
          <w:b w:val="false"/>
          <w:bCs w:val="false"/>
          <w:sz w:val="22"/>
          <w:szCs w:val="22"/>
          <w:lang w:val="en-US"/>
        </w:rPr>
        <w:t xml:space="preserve">The software also provides warnings in situations where the measurement conditions are suboptimal or user settings are potentially erroneous, so that beginners are efficiently guided to avoid pitfalls. The PicoHarp 300 </w:t>
      </w:r>
      <w:r>
        <w:rPr>
          <w:b w:val="false"/>
          <w:bCs w:val="false"/>
          <w:sz w:val="22"/>
          <w:szCs w:val="22"/>
          <w:lang w:val="en-US"/>
        </w:rPr>
        <w:t>is designed as a USB 2.0</w:t>
      </w:r>
      <w:r>
        <w:rPr>
          <w:b w:val="false"/>
          <w:bCs w:val="false"/>
          <w:sz w:val="22"/>
          <w:szCs w:val="22"/>
          <w:lang w:val="en-US"/>
        </w:rPr>
        <w:t xml:space="preserve"> “Plug and Play device</w:t>
      </w:r>
      <w:r>
        <w:rPr>
          <w:b w:val="false"/>
          <w:bCs w:val="false"/>
          <w:sz w:val="22"/>
          <w:szCs w:val="22"/>
          <w:lang w:val="en-US"/>
        </w:rPr>
        <w:t xml:space="preserve">”, allowing control and data acquisition from a regular desktop computer or notebook PC. The USB interface is designed very efficiently, so that a sustained TTTR mode throughput of 5 millions of counts per second can be guaranteed for virtually any measurement time required. To owners of a PicoHarp 300 the new software is provided free of charge. </w:t>
      </w:r>
    </w:p>
    <w:p>
      <w:pPr>
        <w:pStyle w:val="style0"/>
        <w:spacing w:after="0" w:before="0"/>
        <w:ind w:hanging="0" w:left="0" w:right="0"/>
        <w:contextualSpacing w:val="false"/>
        <w:rPr>
          <w:b/>
          <w:bCs/>
          <w:sz w:val="22"/>
          <w:szCs w:val="22"/>
          <w:lang w:val="en-US"/>
        </w:rPr>
      </w:pPr>
      <w:r>
        <w:rPr>
          <w:b/>
          <w:bCs/>
          <w:sz w:val="22"/>
          <w:szCs w:val="22"/>
          <w:lang w:val="en-US"/>
        </w:rPr>
      </w:r>
    </w:p>
    <w:p>
      <w:pPr>
        <w:pStyle w:val="style0"/>
        <w:spacing w:after="0" w:before="0"/>
        <w:ind w:hanging="0" w:left="0" w:right="0"/>
        <w:contextualSpacing w:val="false"/>
        <w:rPr/>
      </w:pPr>
      <w:r>
        <w:rPr/>
      </w:r>
    </w:p>
    <w:p>
      <w:pPr>
        <w:pStyle w:val="style0"/>
        <w:spacing w:after="0" w:before="0"/>
        <w:ind w:hanging="0" w:left="0" w:right="0"/>
        <w:contextualSpacing w:val="false"/>
        <w:rPr/>
      </w:pPr>
      <w:r>
        <w:rPr/>
      </w:r>
    </w:p>
    <w:p>
      <w:pPr>
        <w:pStyle w:val="style0"/>
        <w:spacing w:after="0" w:before="0"/>
        <w:ind w:hanging="0" w:left="0" w:right="0"/>
        <w:contextualSpacing w:val="false"/>
        <w:rPr>
          <w:b/>
          <w:bCs/>
          <w:sz w:val="22"/>
          <w:szCs w:val="22"/>
          <w:lang w:val="en-US"/>
        </w:rPr>
      </w:pPr>
      <w:r>
        <w:rPr>
          <w:b/>
          <w:bCs/>
          <w:sz w:val="22"/>
          <w:szCs w:val="22"/>
          <w:lang w:val="en-US"/>
        </w:rPr>
        <w:t>About PicoQuant</w:t>
      </w:r>
    </w:p>
    <w:p>
      <w:pPr>
        <w:pStyle w:val="style0"/>
        <w:spacing w:after="0" w:before="0"/>
        <w:ind w:hanging="0" w:left="0" w:right="0"/>
        <w:contextualSpacing w:val="false"/>
        <w:rPr>
          <w:b w:val="false"/>
          <w:bCs w:val="false"/>
          <w:sz w:val="22"/>
          <w:szCs w:val="22"/>
          <w:lang w:val="en-US"/>
        </w:rPr>
      </w:pPr>
      <w:r>
        <w:rPr>
          <w:b w:val="false"/>
          <w:bCs w:val="false"/>
          <w:sz w:val="22"/>
          <w:szCs w:val="22"/>
          <w:lang w:val="en-US"/>
        </w:rPr>
        <w:t xml:space="preserve">PicoQuant GmbH is a research and development company in the field of optoelectronics. The company was founded in 1996 and is based in the science and technology park Berlin-Adlershof, Germany. The company is a worldwide leader in the field of single photon counting applications. The product line includes pulsed diode lasers and LEDs, photon counting instrumentation, fluorescence lifetime spectrometers and time-resolved confocal microscopes. PicoQuant employs currently around 50 people. Since April 2008 Sales and Support in North America is handled by PicoQuant Photonics North America Inc. </w:t>
      </w:r>
    </w:p>
    <w:p>
      <w:pPr>
        <w:pStyle w:val="style0"/>
        <w:spacing w:after="0" w:before="0"/>
        <w:ind w:hanging="0" w:left="0" w:right="0"/>
        <w:contextualSpacing w:val="false"/>
        <w:rPr>
          <w:b w:val="false"/>
          <w:bCs w:val="false"/>
          <w:sz w:val="22"/>
          <w:szCs w:val="22"/>
          <w:lang w:val="en-US"/>
        </w:rPr>
      </w:pPr>
      <w:r>
        <w:rPr>
          <w:b w:val="false"/>
          <w:bCs w:val="false"/>
          <w:sz w:val="22"/>
          <w:szCs w:val="22"/>
          <w:lang w:val="en-US"/>
        </w:rPr>
      </w:r>
    </w:p>
    <w:p>
      <w:pPr>
        <w:pStyle w:val="style0"/>
        <w:spacing w:after="0" w:before="0"/>
        <w:ind w:hanging="0" w:left="0" w:right="0"/>
        <w:contextualSpacing w:val="false"/>
        <w:rPr>
          <w:b w:val="false"/>
          <w:bCs w:val="false"/>
          <w:sz w:val="22"/>
          <w:szCs w:val="22"/>
          <w:lang w:val="en-US"/>
        </w:rPr>
      </w:pPr>
      <w:r>
        <w:rPr>
          <w:b w:val="false"/>
          <w:bCs w:val="false"/>
          <w:sz w:val="22"/>
          <w:szCs w:val="22"/>
          <w:lang w:val="en-US"/>
        </w:rPr>
      </w:r>
    </w:p>
    <w:p>
      <w:pPr>
        <w:pStyle w:val="style0"/>
        <w:spacing w:after="0" w:before="0"/>
        <w:ind w:hanging="0" w:left="0" w:right="0"/>
        <w:contextualSpacing w:val="false"/>
        <w:rPr>
          <w:b/>
          <w:bCs/>
          <w:sz w:val="22"/>
          <w:szCs w:val="22"/>
          <w:lang w:val="en-US"/>
        </w:rPr>
      </w:pPr>
      <w:r>
        <w:rPr>
          <w:b/>
          <w:bCs/>
          <w:sz w:val="22"/>
          <w:szCs w:val="22"/>
          <w:lang w:val="en-US"/>
        </w:rPr>
        <w:t>Attachment</w:t>
      </w:r>
    </w:p>
    <w:p>
      <w:pPr>
        <w:pStyle w:val="style0"/>
        <w:spacing w:after="0" w:before="0"/>
        <w:ind w:hanging="0" w:left="0" w:right="0"/>
        <w:contextualSpacing w:val="false"/>
        <w:rPr>
          <w:b w:val="false"/>
          <w:bCs w:val="false"/>
          <w:sz w:val="22"/>
          <w:szCs w:val="22"/>
          <w:lang w:val="en-US"/>
        </w:rPr>
      </w:pPr>
      <w:r>
        <w:rPr>
          <w:b w:val="false"/>
          <w:bCs w:val="false"/>
          <w:sz w:val="22"/>
          <w:szCs w:val="22"/>
          <w:lang w:val="en-US"/>
        </w:rPr>
        <w:t>Screenshot of the PicoHarp 300 software: screenshot_PicoHarp_software.jpg</w:t>
      </w:r>
    </w:p>
    <w:p>
      <w:pPr>
        <w:pStyle w:val="style0"/>
        <w:spacing w:after="0" w:before="0"/>
        <w:ind w:hanging="0" w:left="0" w:right="0"/>
        <w:contextualSpacing w:val="false"/>
        <w:rPr>
          <w:b w:val="false"/>
          <w:bCs w:val="false"/>
          <w:sz w:val="22"/>
          <w:szCs w:val="22"/>
          <w:lang w:val="en-US"/>
        </w:rPr>
      </w:pPr>
      <w:r>
        <w:rPr>
          <w:b w:val="false"/>
          <w:bCs w:val="false"/>
          <w:sz w:val="22"/>
          <w:szCs w:val="22"/>
          <w:lang w:val="en-US"/>
        </w:rPr>
        <w:t xml:space="preserve">Caption: </w:t>
      </w:r>
      <w:bookmarkStart w:id="0" w:name="__DdeLink__1413_462105408"/>
      <w:bookmarkEnd w:id="0"/>
      <w:r>
        <w:rPr>
          <w:b w:val="false"/>
          <w:bCs w:val="false"/>
          <w:sz w:val="22"/>
          <w:szCs w:val="22"/>
          <w:lang w:val="en-US"/>
        </w:rPr>
        <w:t>The new data acquisition software for PicoQuant's PicoHarp 300 Time-Correlated Single Photon Counting (TCSPC) system provides a programmable time offset in the sync input to replace adjustable cable delays.</w:t>
      </w:r>
    </w:p>
    <w:p>
      <w:pPr>
        <w:pStyle w:val="style0"/>
        <w:spacing w:after="0" w:before="0"/>
        <w:ind w:hanging="0" w:left="0" w:right="0"/>
        <w:contextualSpacing w:val="false"/>
        <w:rPr>
          <w:b w:val="false"/>
          <w:bCs w:val="false"/>
          <w:sz w:val="22"/>
          <w:szCs w:val="22"/>
          <w:lang w:val="en-US"/>
        </w:rPr>
      </w:pPr>
      <w:r>
        <w:rPr>
          <w:b w:val="false"/>
          <w:bCs w:val="false"/>
          <w:sz w:val="22"/>
          <w:szCs w:val="22"/>
          <w:lang w:val="en-US"/>
        </w:rPr>
      </w:r>
    </w:p>
    <w:p>
      <w:pPr>
        <w:pStyle w:val="style0"/>
        <w:spacing w:after="0" w:before="0"/>
        <w:ind w:hanging="0" w:left="0" w:right="0"/>
        <w:contextualSpacing w:val="false"/>
        <w:rPr>
          <w:b w:val="false"/>
          <w:bCs w:val="false"/>
          <w:sz w:val="22"/>
          <w:szCs w:val="22"/>
          <w:lang w:val="en-US"/>
        </w:rPr>
      </w:pPr>
      <w:r>
        <w:rPr>
          <w:b w:val="false"/>
          <w:bCs w:val="false"/>
          <w:sz w:val="22"/>
          <w:szCs w:val="22"/>
          <w:lang w:val="en-US"/>
        </w:rPr>
      </w:r>
    </w:p>
    <w:p>
      <w:pPr>
        <w:pStyle w:val="style0"/>
        <w:spacing w:after="0" w:before="0"/>
        <w:ind w:hanging="0" w:left="0" w:right="0"/>
        <w:contextualSpacing w:val="false"/>
        <w:rPr>
          <w:b/>
          <w:bCs/>
          <w:sz w:val="22"/>
          <w:szCs w:val="22"/>
          <w:lang w:val="en-US"/>
        </w:rPr>
      </w:pPr>
      <w:r>
        <w:rPr>
          <w:b/>
          <w:bCs/>
          <w:sz w:val="22"/>
          <w:szCs w:val="22"/>
          <w:lang w:val="en-US"/>
        </w:rPr>
        <w:t>Contact</w:t>
      </w:r>
    </w:p>
    <w:p>
      <w:pPr>
        <w:pStyle w:val="style0"/>
        <w:spacing w:after="0" w:before="0"/>
        <w:ind w:hanging="0" w:left="0" w:right="0"/>
        <w:contextualSpacing w:val="false"/>
        <w:rPr>
          <w:b w:val="false"/>
          <w:bCs w:val="false"/>
          <w:sz w:val="22"/>
          <w:szCs w:val="22"/>
          <w:lang w:val="en-US"/>
        </w:rPr>
      </w:pPr>
      <w:r>
        <w:rPr>
          <w:b w:val="false"/>
          <w:bCs w:val="false"/>
          <w:sz w:val="22"/>
          <w:szCs w:val="22"/>
          <w:lang w:val="en-US"/>
        </w:rPr>
        <w:t>Nicole Bornemann</w:t>
      </w:r>
    </w:p>
    <w:p>
      <w:pPr>
        <w:pStyle w:val="style0"/>
        <w:spacing w:after="0" w:before="0"/>
        <w:ind w:hanging="0" w:left="0" w:right="0"/>
        <w:contextualSpacing w:val="false"/>
        <w:rPr>
          <w:b w:val="false"/>
          <w:bCs w:val="false"/>
          <w:sz w:val="22"/>
          <w:szCs w:val="22"/>
          <w:lang w:val="en-US"/>
        </w:rPr>
      </w:pPr>
      <w:r>
        <w:rPr>
          <w:b w:val="false"/>
          <w:bCs w:val="false"/>
          <w:sz w:val="22"/>
          <w:szCs w:val="22"/>
          <w:lang w:val="en-US"/>
        </w:rPr>
        <w:t>Marketing Assistant</w:t>
      </w:r>
    </w:p>
    <w:p>
      <w:pPr>
        <w:pStyle w:val="style0"/>
        <w:spacing w:after="0" w:before="0"/>
        <w:ind w:hanging="0" w:left="0" w:right="0"/>
        <w:contextualSpacing w:val="false"/>
        <w:rPr>
          <w:b w:val="false"/>
          <w:bCs w:val="false"/>
          <w:sz w:val="22"/>
          <w:szCs w:val="22"/>
          <w:lang w:val="en-US"/>
        </w:rPr>
      </w:pPr>
      <w:r>
        <w:rPr>
          <w:b w:val="false"/>
          <w:bCs w:val="false"/>
          <w:sz w:val="22"/>
          <w:szCs w:val="22"/>
          <w:lang w:val="en-US"/>
        </w:rPr>
        <w:t>Tel.: +49-30-6392-6568</w:t>
      </w:r>
    </w:p>
    <w:p>
      <w:pPr>
        <w:pStyle w:val="style0"/>
        <w:spacing w:after="0" w:before="0"/>
        <w:ind w:hanging="0" w:left="0" w:right="0"/>
        <w:contextualSpacing w:val="false"/>
        <w:rPr>
          <w:rStyle w:val="style15"/>
          <w:sz w:val="22"/>
          <w:szCs w:val="22"/>
          <w:lang w:val="en-US"/>
        </w:rPr>
      </w:pPr>
      <w:hyperlink r:id="rId3">
        <w:r>
          <w:rPr>
            <w:rStyle w:val="style15"/>
            <w:sz w:val="22"/>
            <w:szCs w:val="22"/>
            <w:lang w:val="en-US"/>
          </w:rPr>
          <w:t>mkt@picoquant.com</w:t>
        </w:r>
      </w:hyperlink>
    </w:p>
    <w:p>
      <w:pPr>
        <w:pStyle w:val="style0"/>
        <w:spacing w:after="0" w:before="0"/>
        <w:ind w:hanging="0" w:left="0" w:right="0"/>
        <w:contextualSpacing w:val="false"/>
        <w:rPr>
          <w:sz w:val="22"/>
          <w:szCs w:val="22"/>
          <w:lang w:val="en-US"/>
        </w:rPr>
      </w:pPr>
      <w:r>
        <w:rPr>
          <w:sz w:val="22"/>
          <w:szCs w:val="22"/>
          <w:lang w:val="en-US"/>
        </w:rPr>
        <w:t>www.picoquant.com</w:t>
      </w:r>
    </w:p>
    <w:p>
      <w:pPr>
        <w:pStyle w:val="style0"/>
        <w:rPr>
          <w:lang w:val="en-US"/>
        </w:rPr>
      </w:pPr>
      <w:r>
        <w:rPr>
          <w:lang w:val="en-US"/>
        </w:rPr>
      </w:r>
    </w:p>
    <w:p>
      <w:pPr>
        <w:pStyle w:val="style0"/>
        <w:rPr/>
      </w:pPr>
      <w:r>
        <w:rPr/>
      </w:r>
    </w:p>
    <w:p>
      <w:pPr>
        <w:pStyle w:val="style0"/>
        <w:rPr/>
      </w:pPr>
      <w:r>
        <w:rPr/>
      </w:r>
    </w:p>
    <w:sectPr>
      <w:headerReference r:id="rId4" w:type="default"/>
      <w:type w:val="nextPage"/>
      <w:pgSz w:h="16838" w:w="11906"/>
      <w:pgMar w:bottom="1134" w:footer="0" w:gutter="0" w:header="1134" w:left="1134" w:right="1134" w:top="1900"/>
      <w:pgNumType w:fmt="decimal"/>
      <w:formProt w:val="false"/>
      <w:textDirection w:val="lrTb"/>
      <w:docGrid w:charSpace="0" w:linePitch="240" w:type="default"/>
    </w:sectPr>
  </w:body>
</w:document>
</file>

<file path=word/fontTable.xml><?xml version="1.0" encoding="utf-8"?>
<w:fonts xmlns:r="http://schemas.openxmlformats.org/officeDocument/2006/relationship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w:charset w:val="00"/>
    <w:family w:val="roman"/>
    <w:pitch w:val="variable"/>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pPr>
      <w:pStyle w:val="style0"/>
      <w:rPr/>
    </w:pPr>
    <w:r>
      <w:rPr/>
    </w:r>
  </w:p>
</w:hdr>
</file>

<file path=word/settings.xml><?xml version="1.0" encoding="utf-8"?>
<w:settings xmlns:w="http://schemas.openxmlformats.org/wordprocessingml/2006/main">
  <w:zoom w:percent="103"/>
  <w:defaultTabStop w:val="709"/>
</w:settings>
</file>

<file path=word/styles.xml><?xml version="1.0" encoding="utf-8"?>
<w:styles xmlns:w="http://schemas.openxmlformats.org/wordprocessingml/2006/main">
  <w:style w:styleId="style0" w:type="paragraph">
    <w:name w:val="Normal"/>
    <w:next w:val="style0"/>
    <w:pPr>
      <w:widowControl w:val="false"/>
      <w:suppressAutoHyphens w:val="true"/>
      <w:overflowPunct w:val="false"/>
    </w:pPr>
    <w:rPr>
      <w:rFonts w:ascii="Arial" w:cs="Tahoma" w:eastAsia="Lucida Sans Unicode" w:hAnsi="Arial"/>
      <w:color w:val="00000A"/>
      <w:sz w:val="24"/>
      <w:szCs w:val="24"/>
      <w:lang w:bidi="hi-IN" w:eastAsia="zh-CN" w:val="en-US"/>
    </w:rPr>
  </w:style>
  <w:style w:styleId="style15" w:type="character">
    <w:name w:val="Internetlink"/>
    <w:next w:val="style15"/>
    <w:rPr>
      <w:color w:val="000080"/>
      <w:u w:val="single"/>
      <w:lang w:bidi="zxx-" w:eastAsia="zxx-" w:val="zxx-"/>
    </w:rPr>
  </w:style>
  <w:style w:styleId="style16" w:type="paragraph">
    <w:name w:val="Überschrift"/>
    <w:basedOn w:val="style0"/>
    <w:next w:val="style17"/>
    <w:pPr>
      <w:keepNext/>
      <w:spacing w:after="120" w:before="240"/>
      <w:contextualSpacing w:val="false"/>
    </w:pPr>
    <w:rPr>
      <w:rFonts w:ascii="Arial" w:cs="Tahoma" w:eastAsia="Lucida Sans Unicode" w:hAnsi="Arial"/>
      <w:sz w:val="28"/>
      <w:szCs w:val="28"/>
    </w:rPr>
  </w:style>
  <w:style w:styleId="style17" w:type="paragraph">
    <w:name w:val="Textkörper"/>
    <w:basedOn w:val="style0"/>
    <w:next w:val="style17"/>
    <w:pPr>
      <w:spacing w:after="120" w:before="0"/>
      <w:contextualSpacing w:val="false"/>
    </w:pPr>
    <w:rPr/>
  </w:style>
  <w:style w:styleId="style18" w:type="paragraph">
    <w:name w:val="Liste"/>
    <w:basedOn w:val="style17"/>
    <w:next w:val="style18"/>
    <w:pPr/>
    <w:rPr>
      <w:rFonts w:ascii="Arial" w:cs="Tahoma" w:hAnsi="Arial"/>
    </w:rPr>
  </w:style>
  <w:style w:styleId="style19" w:type="paragraph">
    <w:name w:val="Beschriftung"/>
    <w:basedOn w:val="style0"/>
    <w:next w:val="style19"/>
    <w:pPr>
      <w:suppressLineNumbers/>
      <w:spacing w:after="120" w:before="120"/>
      <w:contextualSpacing w:val="false"/>
    </w:pPr>
    <w:rPr>
      <w:rFonts w:ascii="Arial" w:cs="Tahoma" w:hAnsi="Arial"/>
      <w:i/>
      <w:iCs/>
      <w:sz w:val="24"/>
      <w:szCs w:val="24"/>
    </w:rPr>
  </w:style>
  <w:style w:styleId="style20" w:type="paragraph">
    <w:name w:val="Verzeichnis"/>
    <w:basedOn w:val="style0"/>
    <w:next w:val="style20"/>
    <w:pPr>
      <w:suppressLineNumbers/>
    </w:pPr>
    <w:rPr>
      <w:rFonts w:ascii="Arial" w:cs="Tahoma" w:hAnsi="Arial"/>
    </w:rPr>
  </w:style>
  <w:style w:styleId="style21" w:type="paragraph">
    <w:name w:val="Kopfzeile"/>
    <w:basedOn w:val="style0"/>
    <w:next w:val="style21"/>
    <w:pPr>
      <w:suppressLineNumbers/>
      <w:tabs>
        <w:tab w:leader="none" w:pos="4819" w:val="center"/>
        <w:tab w:leader="none" w:pos="9638" w:val="right"/>
      </w:tabs>
    </w:pPr>
    <w:rPr/>
  </w:style>
  <w:style w:styleId="style22" w:type="paragraph">
    <w:name w:val="Fußzeile"/>
    <w:basedOn w:val="style0"/>
    <w:next w:val="style22"/>
    <w:pPr>
      <w:suppressLineNumbers/>
      <w:tabs>
        <w:tab w:leader="none" w:pos="4819" w:val="center"/>
        <w:tab w:leader="none" w:pos="9638" w:val="right"/>
      </w:tabs>
    </w:pPr>
    <w:rPr/>
  </w:style>
  <w:style w:styleId="style23" w:type="paragraph">
    <w:name w:val="Tabellen Inhalt"/>
    <w:basedOn w:val="style17"/>
    <w:next w:val="style23"/>
    <w:pPr>
      <w:suppressLineNumbers/>
    </w:pPr>
    <w:rPr/>
  </w:style>
  <w:style w:styleId="style24" w:type="paragraph">
    <w:name w:val="Rahmeninhalt"/>
    <w:basedOn w:val="style0"/>
    <w:next w:val="style24"/>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hyperlink" Target="mailto:mkt@picoquant.com" TargetMode="External"/><Relationship Id="rId4" Type="http://schemas.openxmlformats.org/officeDocument/2006/relationships/header" Target="header1.xml"/><Relationship Id="rId5" Type="http://schemas.openxmlformats.org/officeDocument/2006/relationships/fontTable" Target="fontTable.xml"/><Relationship Id="rId6"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otalTime>0</TotalTime>
  <Application>LibreOffice/4.1.2.3$Windows_x86 LibreOffice_project/40b2d7fde7e8d2d7bc5a449dc65df4d08a7dd38</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2013-12-19T13:12:16Z</dcterms:created>
  <dc:creator>Nicole Bornemann</dc:creator>
  <cp:revision>1</cp:revision>
</cp:coreProperties>
</file>