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media/image2.png" ContentType="image/png"/>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300" w:lineRule="auto"/>
        <w:ind w:hanging="0" w:left="0" w:right="0"/>
        <w:contextualSpacing w:val="false"/>
      </w:pPr>
      <w:r>
        <w:rPr>
          <w:b/>
          <w:bCs/>
          <w:position w:val="0"/>
          <w:sz w:val="24"/>
          <w:sz w:val="28"/>
          <w:szCs w:val="28"/>
          <w:vertAlign w:val="baseline"/>
        </w:rPr>
        <w:t>6</w:t>
        <w:pict/>
      </w:r>
      <w:r>
        <w:rPr>
          <w:b/>
          <w:bCs/>
          <w:sz w:val="28"/>
          <w:szCs w:val="28"/>
          <w:vertAlign w:val="superscript"/>
        </w:rPr>
        <w:t>th</w:t>
      </w:r>
      <w:r>
        <w:rPr>
          <w:b/>
          <w:bCs/>
          <w:sz w:val="28"/>
          <w:szCs w:val="28"/>
        </w:rPr>
        <w:t xml:space="preserve"> European Short Course on “Time-Resolved Microscopy and Correlation Spectroscopy”</w:t>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b/>
          <w:bCs/>
          <w:sz w:val="22"/>
          <w:szCs w:val="22"/>
        </w:rPr>
        <w:t>The annual course by PicoQuant gives an in-depth introduction into time-resolved fluorescence microscopy</w:t>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b/>
          <w:bCs/>
          <w:sz w:val="22"/>
          <w:szCs w:val="22"/>
        </w:rPr>
        <w:t>Ber</w:t>
      </w:r>
      <w:r>
        <w:rPr>
          <w:b/>
          <w:bCs/>
          <w:color w:val="000000"/>
          <w:sz w:val="22"/>
          <w:szCs w:val="22"/>
        </w:rPr>
        <w:t>lin (Germany),</w:t>
      </w:r>
      <w:r>
        <w:rPr>
          <w:b/>
          <w:bCs/>
          <w:color w:val="000000"/>
          <w:sz w:val="22"/>
          <w:szCs w:val="22"/>
          <w:shd w:fill="FFFFFF" w:val="clear"/>
        </w:rPr>
        <w:t xml:space="preserve"> 15 October 2013</w:t>
      </w:r>
      <w:r>
        <w:rPr>
          <w:b/>
          <w:bCs/>
          <w:color w:val="000000"/>
          <w:sz w:val="22"/>
          <w:szCs w:val="22"/>
        </w:rPr>
        <w:t xml:space="preserve"> </w:t>
      </w:r>
      <w:r>
        <w:rPr>
          <w:b w:val="false"/>
          <w:bCs w:val="false"/>
          <w:color w:val="000000"/>
          <w:sz w:val="22"/>
          <w:szCs w:val="22"/>
        </w:rPr>
        <w:t>– The short course on “Time-Resolved Microscopy and Correlation Spectroscopy”, organized by PicoQu</w:t>
      </w:r>
      <w:r>
        <w:rPr>
          <w:b w:val="false"/>
          <w:bCs w:val="false"/>
          <w:sz w:val="22"/>
          <w:szCs w:val="22"/>
        </w:rPr>
        <w:t xml:space="preserve">ant GmbH, will be held </w:t>
      </w:r>
      <w:bookmarkStart w:id="0" w:name="__DdeLink__218_1013288529"/>
      <w:r>
        <w:rPr>
          <w:b w:val="false"/>
          <w:bCs w:val="false"/>
          <w:sz w:val="22"/>
          <w:szCs w:val="22"/>
        </w:rPr>
        <w:t>from February 25 to 27, 2014 at the science and technology park WISTA in Berlin-Adlershof, Germany.</w:t>
      </w:r>
      <w:bookmarkEnd w:id="0"/>
      <w:r>
        <w:rPr>
          <w:b w:val="false"/>
          <w:bCs w:val="false"/>
          <w:sz w:val="22"/>
          <w:szCs w:val="22"/>
        </w:rPr>
        <w:t xml:space="preserve"> The scope of the course is to provide an in-depth introduction to principles and applications of time-resolved fluorescence microscopy from a t</w:t>
      </w:r>
      <w:r>
        <w:rPr>
          <w:b w:val="false"/>
          <w:bCs w:val="false"/>
          <w:color w:val="000000"/>
          <w:sz w:val="22"/>
          <w:szCs w:val="22"/>
        </w:rPr>
        <w:t>heoretical and experimental point of view. Registration is possible until January 15, 2014.</w:t>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b w:val="false"/>
          <w:bCs w:val="false"/>
          <w:sz w:val="22"/>
          <w:szCs w:val="22"/>
        </w:rPr>
        <w:t>The three day event includes lectures of renowned scientists as well as hands-on experimentation on instruments provided by market-leading companies including Leica, Nikon, Olympus, and PicoQuant.</w:t>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b w:val="false"/>
          <w:bCs w:val="false"/>
          <w:sz w:val="22"/>
          <w:szCs w:val="22"/>
        </w:rPr>
        <w:t>Topics covered:</w:t>
      </w:r>
    </w:p>
    <w:p>
      <w:pPr>
        <w:pStyle w:val="style0"/>
        <w:numPr>
          <w:ilvl w:val="0"/>
          <w:numId w:val="1"/>
        </w:numPr>
        <w:spacing w:after="0" w:before="0" w:line="300" w:lineRule="auto"/>
        <w:ind w:hanging="0" w:left="0" w:right="0"/>
        <w:contextualSpacing w:val="false"/>
      </w:pPr>
      <w:r>
        <w:rPr>
          <w:b w:val="false"/>
          <w:bCs w:val="false"/>
          <w:sz w:val="22"/>
          <w:szCs w:val="22"/>
        </w:rPr>
        <w:t>Instrumentation for time-resolved fluorescence microscopy</w:t>
      </w:r>
    </w:p>
    <w:p>
      <w:pPr>
        <w:pStyle w:val="style0"/>
        <w:numPr>
          <w:ilvl w:val="0"/>
          <w:numId w:val="1"/>
        </w:numPr>
        <w:spacing w:after="0" w:before="0" w:line="300" w:lineRule="auto"/>
        <w:ind w:hanging="0" w:left="0" w:right="0"/>
        <w:contextualSpacing w:val="false"/>
      </w:pPr>
      <w:r>
        <w:rPr>
          <w:b w:val="false"/>
          <w:bCs w:val="false"/>
          <w:sz w:val="22"/>
          <w:szCs w:val="22"/>
        </w:rPr>
        <w:t>Fluorescence Correlation Spectroscopy (FCS)</w:t>
      </w:r>
    </w:p>
    <w:p>
      <w:pPr>
        <w:pStyle w:val="style0"/>
        <w:numPr>
          <w:ilvl w:val="0"/>
          <w:numId w:val="1"/>
        </w:numPr>
        <w:spacing w:after="0" w:before="0" w:line="300" w:lineRule="auto"/>
        <w:ind w:hanging="0" w:left="0" w:right="0"/>
        <w:contextualSpacing w:val="false"/>
      </w:pPr>
      <w:r>
        <w:rPr>
          <w:b w:val="false"/>
          <w:bCs w:val="false"/>
          <w:sz w:val="22"/>
          <w:szCs w:val="22"/>
        </w:rPr>
        <w:t>Fluorescence Lifetime Imaging (FLIM)</w:t>
      </w:r>
    </w:p>
    <w:p>
      <w:pPr>
        <w:pStyle w:val="style0"/>
        <w:numPr>
          <w:ilvl w:val="0"/>
          <w:numId w:val="1"/>
        </w:numPr>
        <w:spacing w:after="0" w:before="0" w:line="300" w:lineRule="auto"/>
        <w:ind w:hanging="0" w:left="0" w:right="0"/>
        <w:contextualSpacing w:val="false"/>
      </w:pPr>
      <w:r>
        <w:rPr>
          <w:b w:val="false"/>
          <w:bCs w:val="false"/>
          <w:sz w:val="22"/>
          <w:szCs w:val="22"/>
        </w:rPr>
        <w:t>Förster Resonance Energy Transfer (FRET)</w:t>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b w:val="false"/>
          <w:bCs w:val="false"/>
          <w:sz w:val="22"/>
          <w:szCs w:val="22"/>
        </w:rPr>
        <w:t xml:space="preserve">Lectures </w:t>
      </w:r>
      <w:r>
        <w:rPr>
          <w:b w:val="false"/>
          <w:bCs w:val="false"/>
          <w:color w:val="00000A"/>
          <w:sz w:val="22"/>
          <w:szCs w:val="22"/>
        </w:rPr>
        <w:t xml:space="preserve">are given by Jörg Enderlein and Fred Wouters from the University of Göttingen, Mark Hink from the University of Amsterdam, Paul French from the Imperial College London, Johan Hofkens from the Katholieke Universiteit Leuven and Rainer Erdmann, Managing Director of PicoQuant. </w:t>
      </w:r>
      <w:r>
        <w:rPr>
          <w:b w:val="false"/>
          <w:bCs w:val="false"/>
          <w:sz w:val="22"/>
          <w:szCs w:val="22"/>
        </w:rPr>
        <w:t>After the lectures in the morning, participants have the opportunity to get hands-on training on different confocal microscopes capable of time-resolved data acquisition for FLIM and FCS.</w:t>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r>
    </w:p>
    <w:p>
      <w:pPr>
        <w:pStyle w:val="style0"/>
        <w:spacing w:after="0" w:before="0" w:line="300" w:lineRule="auto"/>
        <w:ind w:hanging="0" w:left="0" w:right="0"/>
        <w:contextualSpacing w:val="false"/>
      </w:pPr>
      <w:r>
        <w:rPr>
          <w:b w:val="false"/>
          <w:bCs w:val="false"/>
          <w:sz w:val="22"/>
          <w:szCs w:val="22"/>
        </w:rPr>
        <w:t>Course Title</w:t>
        <w:tab/>
        <w:t>6</w:t>
      </w:r>
      <w:r>
        <w:rPr>
          <w:b w:val="false"/>
          <w:bCs w:val="false"/>
          <w:sz w:val="22"/>
          <w:szCs w:val="22"/>
          <w:vertAlign w:val="superscript"/>
        </w:rPr>
        <w:t>h</w:t>
      </w:r>
      <w:r>
        <w:rPr>
          <w:b w:val="false"/>
          <w:bCs w:val="false"/>
          <w:sz w:val="22"/>
          <w:szCs w:val="22"/>
        </w:rPr>
        <w:t xml:space="preserve"> European Short Course on “Time-Resolved Microscopy and Correlation</w:t>
        <w:br/>
        <w:tab/>
        <w:tab/>
        <w:t>Spectroscopy”</w:t>
      </w:r>
    </w:p>
    <w:p>
      <w:pPr>
        <w:pStyle w:val="style0"/>
        <w:spacing w:after="0" w:before="0" w:line="300" w:lineRule="auto"/>
        <w:ind w:hanging="0" w:left="0" w:right="0"/>
        <w:contextualSpacing w:val="false"/>
      </w:pPr>
      <w:r>
        <w:rPr>
          <w:b w:val="false"/>
          <w:bCs w:val="false"/>
          <w:sz w:val="22"/>
          <w:szCs w:val="22"/>
        </w:rPr>
        <w:t>Date</w:t>
        <w:tab/>
        <w:tab/>
        <w:t>February 25-27, 2014</w:t>
      </w:r>
    </w:p>
    <w:p>
      <w:pPr>
        <w:pStyle w:val="style0"/>
        <w:spacing w:after="0" w:before="0" w:line="300" w:lineRule="auto"/>
        <w:ind w:hanging="0" w:left="0" w:right="0"/>
        <w:contextualSpacing w:val="false"/>
      </w:pPr>
      <w:r>
        <w:rPr>
          <w:b w:val="false"/>
          <w:bCs w:val="false"/>
          <w:sz w:val="22"/>
          <w:szCs w:val="22"/>
        </w:rPr>
        <w:t>Location</w:t>
        <w:tab/>
        <w:t>WISTA Campus, Berlin, Germany</w:t>
      </w:r>
    </w:p>
    <w:p>
      <w:pPr>
        <w:pStyle w:val="style0"/>
        <w:spacing w:after="0" w:before="0" w:line="300" w:lineRule="auto"/>
        <w:ind w:hanging="0" w:left="0" w:right="0"/>
        <w:contextualSpacing w:val="false"/>
      </w:pPr>
      <w:r>
        <w:rPr>
          <w:b w:val="false"/>
          <w:bCs w:val="false"/>
          <w:sz w:val="22"/>
          <w:szCs w:val="22"/>
        </w:rPr>
        <w:t>Contact</w:t>
        <w:tab/>
        <w:t>PicoQuant GmbH, Jana Rudolph</w:t>
      </w:r>
    </w:p>
    <w:p>
      <w:pPr>
        <w:pStyle w:val="style0"/>
        <w:spacing w:after="0" w:before="0" w:line="300" w:lineRule="auto"/>
        <w:ind w:hanging="0" w:left="0" w:right="0"/>
        <w:contextualSpacing w:val="false"/>
      </w:pPr>
      <w:r>
        <w:rPr>
          <w:b w:val="false"/>
          <w:bCs w:val="false"/>
          <w:sz w:val="22"/>
          <w:szCs w:val="22"/>
        </w:rPr>
        <w:tab/>
        <w:tab/>
      </w:r>
      <w:hyperlink r:id="rId2">
        <w:r>
          <w:rPr>
            <w:rStyle w:val="style15"/>
            <w:rStyle w:val="style15"/>
          </w:rPr>
          <w:t>http://www.picoquant.com/_mic-course.htm</w:t>
        </w:r>
      </w:hyperlink>
    </w:p>
    <w:p>
      <w:pPr>
        <w:pStyle w:val="style0"/>
        <w:spacing w:after="0" w:before="0" w:line="300" w:lineRule="auto"/>
        <w:ind w:hanging="0" w:left="0" w:right="0"/>
        <w:contextualSpacing w:val="false"/>
      </w:pPr>
      <w:r>
        <w:rPr>
          <w:b w:val="false"/>
          <w:bCs w:val="false"/>
          <w:sz w:val="22"/>
          <w:szCs w:val="22"/>
        </w:rPr>
        <w:tab/>
        <w:tab/>
      </w:r>
      <w:hyperlink r:id="rId3">
        <w:r>
          <w:rPr>
            <w:rStyle w:val="style15"/>
            <w:rStyle w:val="style15"/>
          </w:rPr>
          <w:t>trfcourse@picoquant.com</w:t>
        </w:r>
      </w:hyperlink>
    </w:p>
    <w:p>
      <w:pPr>
        <w:pStyle w:val="style0"/>
        <w:suppressAutoHyphens w:val="false"/>
        <w:spacing w:after="0" w:before="0" w:line="300" w:lineRule="auto"/>
        <w:ind w:hanging="0" w:left="0" w:right="0"/>
        <w:contextualSpacing w:val="false"/>
        <w:jc w:val="left"/>
      </w:pPr>
      <w:r>
        <w:rPr/>
      </w:r>
    </w:p>
    <w:p>
      <w:pPr>
        <w:pStyle w:val="style0"/>
        <w:suppressAutoHyphens w:val="false"/>
        <w:spacing w:after="0" w:before="0" w:line="300" w:lineRule="auto"/>
        <w:ind w:hanging="0" w:left="0" w:right="0"/>
        <w:contextualSpacing w:val="false"/>
        <w:jc w:val="left"/>
      </w:pPr>
      <w:r>
        <w:rPr/>
      </w:r>
    </w:p>
    <w:p>
      <w:pPr>
        <w:pStyle w:val="style0"/>
        <w:suppressAutoHyphens w:val="false"/>
        <w:spacing w:after="0" w:before="0" w:line="300" w:lineRule="auto"/>
        <w:ind w:hanging="0" w:left="0" w:right="0"/>
        <w:contextualSpacing w:val="false"/>
        <w:jc w:val="left"/>
      </w:pPr>
      <w:r>
        <w:rPr>
          <w:b/>
          <w:bCs/>
          <w:sz w:val="22"/>
          <w:szCs w:val="22"/>
        </w:rPr>
        <w:t>About PicoQuant</w:t>
      </w:r>
    </w:p>
    <w:p>
      <w:pPr>
        <w:pStyle w:val="style0"/>
        <w:spacing w:after="0" w:before="0"/>
        <w:ind w:hanging="0" w:left="0" w:right="0"/>
        <w:contextualSpacing w:val="false"/>
      </w:pPr>
      <w:r>
        <w:rPr>
          <w:b w:val="false"/>
          <w:bCs w:val="false"/>
          <w:sz w:val="22"/>
          <w:szCs w:val="22"/>
          <w:lang w:val="en-US"/>
        </w:rPr>
        <w:t>PicoQuant GmbH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w:t>
      </w:r>
      <w:r>
        <w:rPr>
          <w:b w:val="false"/>
          <w:bCs w:val="false"/>
          <w:color w:val="000000"/>
          <w:sz w:val="22"/>
          <w:szCs w:val="22"/>
          <w:lang w:val="en-US"/>
        </w:rPr>
        <w:t>d 50 people.</w:t>
      </w:r>
      <w:r>
        <w:rPr>
          <w:b w:val="false"/>
          <w:bCs w:val="false"/>
          <w:sz w:val="22"/>
          <w:szCs w:val="22"/>
          <w:lang w:val="en-US"/>
        </w:rPr>
        <w:t xml:space="preserve"> Since April 2008 Sales and Support in North America is handled by PicoQuant Photonics North America Inc. </w:t>
      </w:r>
    </w:p>
    <w:p>
      <w:pPr>
        <w:pStyle w:val="style0"/>
        <w:spacing w:after="0" w:before="0"/>
        <w:ind w:hanging="0" w:left="0" w:right="0"/>
        <w:contextualSpacing w:val="false"/>
      </w:pPr>
      <w:r>
        <w:rPr/>
      </w:r>
    </w:p>
    <w:p>
      <w:pPr>
        <w:pStyle w:val="style0"/>
        <w:suppressAutoHyphens w:val="false"/>
        <w:spacing w:after="0" w:before="0" w:line="300" w:lineRule="auto"/>
        <w:ind w:hanging="0" w:left="0" w:right="0"/>
        <w:contextualSpacing w:val="false"/>
        <w:jc w:val="left"/>
      </w:pPr>
      <w:r>
        <w:rPr>
          <w:b/>
          <w:bCs/>
          <w:sz w:val="22"/>
          <w:szCs w:val="22"/>
        </w:rPr>
        <w:t>Attachment</w:t>
      </w:r>
    </w:p>
    <w:p>
      <w:pPr>
        <w:pStyle w:val="style0"/>
        <w:spacing w:after="0" w:before="0"/>
        <w:ind w:hanging="0" w:left="0" w:right="0"/>
        <w:contextualSpacing w:val="false"/>
      </w:pPr>
      <w:r>
        <w:rPr>
          <w:b w:val="false"/>
          <w:bCs w:val="false"/>
          <w:sz w:val="22"/>
          <w:szCs w:val="22"/>
        </w:rPr>
        <w:t>pictures of last years course:</w:t>
      </w:r>
    </w:p>
    <w:p>
      <w:pPr>
        <w:pStyle w:val="style0"/>
        <w:spacing w:after="0" w:before="0"/>
        <w:ind w:hanging="0" w:left="0" w:right="0"/>
        <w:contextualSpacing w:val="false"/>
      </w:pPr>
      <w:r>
        <w:rPr>
          <w:b w:val="false"/>
          <w:bCs w:val="false"/>
          <w:sz w:val="22"/>
          <w:szCs w:val="22"/>
        </w:rPr>
        <w:t>Hands-on training on a fluorescence lifetime microscope during the last course in February 2013.</w:t>
      </w:r>
    </w:p>
    <w:p>
      <w:pPr>
        <w:pStyle w:val="style0"/>
        <w:spacing w:after="0" w:before="0"/>
        <w:ind w:hanging="0" w:left="0" w:right="0"/>
        <w:contextualSpacing w:val="false"/>
      </w:pPr>
      <w:r>
        <w:rPr/>
      </w:r>
    </w:p>
    <w:p>
      <w:pPr>
        <w:pStyle w:val="style0"/>
        <w:suppressAutoHyphens w:val="false"/>
        <w:spacing w:after="0" w:before="0" w:line="300" w:lineRule="auto"/>
        <w:ind w:hanging="0" w:left="0" w:right="0"/>
        <w:contextualSpacing w:val="false"/>
        <w:jc w:val="left"/>
      </w:pPr>
      <w:r>
        <w:rPr/>
        <w:drawing>
          <wp:anchor allowOverlap="1" behindDoc="0" distB="0" distL="0" distR="0" distT="0" layoutInCell="1" locked="0" relativeHeight="4" simplePos="0">
            <wp:simplePos x="0" y="0"/>
            <wp:positionH relativeFrom="column">
              <wp:posOffset>29210</wp:posOffset>
            </wp:positionH>
            <wp:positionV relativeFrom="paragraph">
              <wp:posOffset>5715</wp:posOffset>
            </wp:positionV>
            <wp:extent cx="2782570" cy="1854835"/>
            <wp:effectExtent b="0" l="0" r="0" t="0"/>
            <wp:wrapTopAndBottom/>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4"/>
                    <a:srcRect/>
                    <a:stretch>
                      <a:fillRect/>
                    </a:stretch>
                  </pic:blipFill>
                  <pic:spPr bwMode="auto">
                    <a:xfrm>
                      <a:off x="0" y="0"/>
                      <a:ext cx="2782570" cy="1854835"/>
                    </a:xfrm>
                    <a:prstGeom prst="rect">
                      <a:avLst/>
                    </a:prstGeom>
                    <a:noFill/>
                    <a:ln w="9525">
                      <a:noFill/>
                      <a:miter lim="800000"/>
                      <a:headEnd/>
                      <a:tailEnd/>
                    </a:ln>
                  </pic:spPr>
                </pic:pic>
              </a:graphicData>
            </a:graphic>
          </wp:anchor>
        </w:drawing>
      </w:r>
    </w:p>
    <w:p>
      <w:pPr>
        <w:pStyle w:val="style0"/>
        <w:suppressAutoHyphens w:val="false"/>
        <w:spacing w:after="0" w:before="0" w:line="300" w:lineRule="auto"/>
        <w:ind w:hanging="0" w:left="0" w:right="0"/>
        <w:contextualSpacing w:val="false"/>
        <w:jc w:val="left"/>
      </w:pPr>
      <w:r>
        <w:rPr/>
      </w:r>
    </w:p>
    <w:p>
      <w:pPr>
        <w:pStyle w:val="style0"/>
        <w:suppressAutoHyphens w:val="false"/>
        <w:spacing w:after="0" w:before="0" w:line="300" w:lineRule="auto"/>
        <w:ind w:hanging="0" w:left="0" w:right="0"/>
        <w:contextualSpacing w:val="false"/>
        <w:jc w:val="left"/>
      </w:pPr>
      <w:r>
        <w:rPr/>
      </w:r>
    </w:p>
    <w:p>
      <w:pPr>
        <w:pStyle w:val="style0"/>
        <w:suppressAutoHyphens w:val="false"/>
        <w:spacing w:after="0" w:before="0" w:line="300" w:lineRule="auto"/>
        <w:ind w:hanging="0" w:left="0" w:right="0"/>
        <w:contextualSpacing w:val="false"/>
        <w:jc w:val="left"/>
      </w:pPr>
      <w:r>
        <w:rPr/>
      </w:r>
    </w:p>
    <w:p>
      <w:pPr>
        <w:pStyle w:val="style0"/>
        <w:suppressAutoHyphens w:val="false"/>
        <w:spacing w:after="0" w:before="0" w:line="300" w:lineRule="auto"/>
        <w:ind w:hanging="0" w:left="0" w:right="0"/>
        <w:contextualSpacing w:val="false"/>
        <w:jc w:val="left"/>
      </w:pPr>
      <w:r>
        <w:rPr>
          <w:b/>
          <w:bCs/>
          <w:sz w:val="22"/>
          <w:szCs w:val="22"/>
        </w:rPr>
        <w:t>Press Contact</w:t>
      </w:r>
    </w:p>
    <w:p>
      <w:pPr>
        <w:pStyle w:val="style0"/>
        <w:spacing w:after="0" w:before="0"/>
        <w:ind w:hanging="0" w:left="0" w:right="0"/>
        <w:contextualSpacing w:val="false"/>
      </w:pPr>
      <w:r>
        <w:rPr>
          <w:b w:val="false"/>
          <w:bCs w:val="false"/>
          <w:sz w:val="22"/>
          <w:szCs w:val="22"/>
        </w:rPr>
        <w:t>Nicole Bornemann</w:t>
      </w:r>
    </w:p>
    <w:p>
      <w:pPr>
        <w:pStyle w:val="style0"/>
        <w:spacing w:after="0" w:before="0"/>
        <w:ind w:hanging="0" w:left="0" w:right="0"/>
        <w:contextualSpacing w:val="false"/>
      </w:pPr>
      <w:r>
        <w:rPr>
          <w:b w:val="false"/>
          <w:bCs w:val="false"/>
          <w:sz w:val="22"/>
          <w:szCs w:val="22"/>
        </w:rPr>
        <w:t>Marketing Assistant</w:t>
      </w:r>
    </w:p>
    <w:p>
      <w:pPr>
        <w:pStyle w:val="style0"/>
        <w:spacing w:after="0" w:before="0"/>
        <w:ind w:hanging="0" w:left="0" w:right="0"/>
        <w:contextualSpacing w:val="false"/>
      </w:pPr>
      <w:r>
        <w:rPr>
          <w:b w:val="false"/>
          <w:bCs w:val="false"/>
          <w:sz w:val="22"/>
          <w:szCs w:val="22"/>
        </w:rPr>
        <w:t>Tel.: +49-30-6392-6929</w:t>
      </w:r>
    </w:p>
    <w:p>
      <w:pPr>
        <w:pStyle w:val="style0"/>
        <w:spacing w:after="0" w:before="0"/>
        <w:ind w:hanging="0" w:left="0" w:right="0"/>
        <w:contextualSpacing w:val="false"/>
      </w:pPr>
      <w:hyperlink r:id="rId5">
        <w:r>
          <w:rPr>
            <w:rStyle w:val="style15"/>
            <w:rStyle w:val="style15"/>
            <w:sz w:val="22"/>
            <w:szCs w:val="22"/>
          </w:rPr>
          <w:t>mkt@picoquant.com</w:t>
        </w:r>
      </w:hyperlink>
    </w:p>
    <w:p>
      <w:pPr>
        <w:pStyle w:val="style0"/>
        <w:spacing w:after="0" w:before="0"/>
        <w:ind w:hanging="0" w:left="0" w:right="0"/>
        <w:contextualSpacing w:val="false"/>
      </w:pPr>
      <w:r>
        <w:rPr>
          <w:sz w:val="22"/>
          <w:szCs w:val="22"/>
        </w:rPr>
        <w:t>www.picoquant.com</w:t>
      </w:r>
    </w:p>
    <w:sectPr>
      <w:headerReference r:id="rId6" w:type="default"/>
      <w:footerReference r:id="rId7" w:type="even"/>
      <w:footerReference r:id="rId8" w:type="default"/>
      <w:type w:val="nextPage"/>
      <w:pgSz w:h="16838" w:w="11906"/>
      <w:pgMar w:bottom="1822" w:footer="567" w:gutter="0" w:header="1134" w:left="1361" w:right="1134" w:top="1700"/>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OpenSymbol">
    <w:altName w:val="Arial Unicode MS"/>
    <w:charset w:val="8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5"/>
    </w:pPr>
    <w:r>
      <w:rPr/>
    </w:r>
  </w:p>
  <w:tbl>
    <w:tblPr>
      <w:jc w:val="left"/>
      <w:tblInd w:type="dxa" w:w="-96"/>
      <w:tblBorders/>
    </w:tblPr>
    <w:tblGrid>
      <w:gridCol w:w="2121"/>
      <w:gridCol w:w="2273"/>
      <w:gridCol w:w="2618"/>
      <w:gridCol w:w="2924"/>
    </w:tblGrid>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PicoQuant GmbH</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Tel:</w:t>
            <w:tab/>
            <w:t>+49 30 6392 6929</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Bank: Berliner Volksbank, 10892 Berlin</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Managing Director: Rainer Erdmann</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Rudower Chaussee 29 (IGZ)</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Fax:</w:t>
            <w:tab/>
            <w:t>+49 30 6392 6561</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Account.-No.: 5610921002</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HRB 60901, AG Berlin-Charlottenburg</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12489 Berlin</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E-mail:</w:t>
            <w:tab/>
            <w:t>info@picoquant.com</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Sort-Code:1009000</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Tax-ID.: 37/464/20131</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Germany</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http://www.picoquant.com</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IBAN: DE86100900005610921002</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VAT-ID: DE812140373</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Shipping address: Kekuléstr. 7</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SWIFT Code: BEVODEBB</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WEEE-Reg.-No.: DE964574</w:t>
          </w:r>
        </w:p>
      </w:tc>
    </w:tr>
  </w:tbl>
  <w:p>
    <w:pPr>
      <w:pStyle w:val="style0"/>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5"/>
    </w:pPr>
    <w:r>
      <w:rPr/>
    </w:r>
  </w:p>
  <w:tbl>
    <w:tblPr>
      <w:jc w:val="left"/>
      <w:tblInd w:type="dxa" w:w="-96"/>
      <w:tblBorders/>
    </w:tblPr>
    <w:tblGrid>
      <w:gridCol w:w="2121"/>
      <w:gridCol w:w="2273"/>
      <w:gridCol w:w="2618"/>
      <w:gridCol w:w="2924"/>
    </w:tblGrid>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PicoQuant GmbH</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Tel:</w:t>
            <w:tab/>
            <w:t>+49 30 6392 6929</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Bank: Berliner Volksbank, 10892 Berlin</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Managing Director: Rainer Erdmann</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Rudower Chaussee 29 (IGZ)</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Fax:</w:t>
            <w:tab/>
            <w:t>+49 30 6392 6561</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Account.-No.: 5610921002</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HRB 60901, AG Berlin-Charlottenburg</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12489 Berlin</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E-mail:</w:t>
            <w:tab/>
            <w:t>info@picoquant.com</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Sort-Code:1009000</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Tax-ID.: 37/464/20131</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Germany</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http://www.picoquant.com</w:t>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IBAN: DE86100900005610921002</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VAT-ID: DE812140373</w:t>
          </w:r>
        </w:p>
      </w:tc>
    </w:tr>
    <w:tr>
      <w:trPr>
        <w:trHeight w:hRule="exact" w:val="176"/>
        <w:cantSplit w:val="false"/>
      </w:trPr>
      <w:tc>
        <w:tcPr>
          <w:tcW w:type="dxa" w:w="2121"/>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Shipping address: Kekuléstr. 7</w:t>
          </w:r>
        </w:p>
      </w:tc>
      <w:tc>
        <w:tcPr>
          <w:tcW w:type="dxa" w:w="2273"/>
          <w:tcBorders/>
          <w:shd w:fill="FFFFFF" w:val="clear"/>
          <w:tcMar>
            <w:top w:type="dxa" w:w="0"/>
            <w:left w:type="dxa" w:w="108"/>
            <w:bottom w:type="dxa" w:w="0"/>
            <w:right w:type="dxa" w:w="108"/>
          </w:tcMar>
        </w:tcPr>
        <w:p>
          <w:pPr>
            <w:pStyle w:val="style26"/>
            <w:spacing w:after="120" w:before="0"/>
            <w:contextualSpacing w:val="false"/>
          </w:pPr>
          <w:r>
            <w:rPr/>
          </w:r>
        </w:p>
      </w:tc>
      <w:tc>
        <w:tcPr>
          <w:tcW w:type="dxa" w:w="2618"/>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SWIFT Code: BEVODEBB</w:t>
          </w:r>
        </w:p>
      </w:tc>
      <w:tc>
        <w:tcPr>
          <w:tcW w:type="dxa" w:w="2924"/>
          <w:tcBorders/>
          <w:shd w:fill="FFFFFF" w:val="clear"/>
          <w:tcMar>
            <w:top w:type="dxa" w:w="0"/>
            <w:left w:type="dxa" w:w="108"/>
            <w:bottom w:type="dxa" w:w="0"/>
            <w:right w:type="dxa" w:w="108"/>
          </w:tcMar>
        </w:tcPr>
        <w:p>
          <w:pPr>
            <w:pStyle w:val="style26"/>
            <w:spacing w:after="120" w:before="0"/>
            <w:contextualSpacing w:val="false"/>
          </w:pPr>
          <w:r>
            <w:rPr>
              <w:color w:val="808080"/>
              <w:sz w:val="14"/>
              <w:szCs w:val="14"/>
            </w:rPr>
            <w:t>WEEE-Reg.-No.: DE964574</w:t>
          </w:r>
        </w:p>
      </w:tc>
    </w:tr>
  </w:tbl>
  <w:p>
    <w:pPr>
      <w:pStyle w:val="style0"/>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4"/>
    </w:pPr>
    <w:r>
      <w:rPr/>
      <w:drawing>
        <wp:anchor allowOverlap="1" behindDoc="0" distB="0" distL="0" distR="0" distT="0" layoutInCell="1" locked="0" relativeHeight="2" simplePos="0">
          <wp:simplePos x="0" y="0"/>
          <wp:positionH relativeFrom="character">
            <wp:posOffset>4840605</wp:posOffset>
          </wp:positionH>
          <wp:positionV relativeFrom="line">
            <wp:posOffset>-10160</wp:posOffset>
          </wp:positionV>
          <wp:extent cx="1165225" cy="1115695"/>
          <wp:effectExtent b="0" l="0" r="0" t="0"/>
          <wp:wrapTopAndBottom/>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1"/>
                  <a:srcRect/>
                  <a:stretch>
                    <a:fillRect/>
                  </a:stretch>
                </pic:blipFill>
                <pic:spPr bwMode="auto">
                  <a:xfrm>
                    <a:off x="0" y="0"/>
                    <a:ext cx="1165225" cy="1115695"/>
                  </a:xfrm>
                  <a:prstGeom prst="rect">
                    <a:avLst/>
                  </a:prstGeom>
                  <a:noFill/>
                  <a:ln w="9525">
                    <a:noFill/>
                    <a:miter lim="800000"/>
                    <a:headEnd/>
                    <a:tailEnd/>
                  </a:ln>
                </pic:spPr>
              </pic:pic>
            </a:graphicData>
          </a:graphic>
        </wp:anchor>
      </w:drawing>
    </w:r>
  </w:p>
</w:hdr>
</file>

<file path=word/numbering.xml><?xml version="1.0" encoding="utf-8"?>
<w:numbering xmlns:w="http://schemas.openxmlformats.org/wordprocessingml/2006/main">
  <w:abstractNum w:abstractNumId="1">
    <w:lvl w:ilvl="0">
      <w:start w:val="1"/>
      <w:numFmt w:val="bullet"/>
      <w:lvlText w:val=""/>
      <w:lvlJc w:val="left"/>
      <w:pPr>
        <w:tabs>
          <w:tab w:pos="360" w:val="num"/>
        </w:tabs>
        <w:ind w:hanging="360" w:left="360"/>
      </w:pPr>
      <w:rPr>
        <w:rFonts w:ascii="Symbol" w:cs="Symbol" w:hAnsi="Symbol" w:hint="default"/>
      </w:rPr>
    </w:lvl>
    <w:lvl w:ilvl="1">
      <w:start w:val="1"/>
      <w:numFmt w:val="bullet"/>
      <w:lvlText w:val="◦"/>
      <w:lvlJc w:val="left"/>
      <w:pPr>
        <w:tabs>
          <w:tab w:pos="720" w:val="num"/>
        </w:tabs>
        <w:ind w:hanging="360" w:left="720"/>
      </w:pPr>
      <w:rPr>
        <w:rFonts w:ascii="OpenSymbol" w:cs="OpenSymbol" w:hAnsi="OpenSymbol" w:hint="default"/>
      </w:rPr>
    </w:lvl>
    <w:lvl w:ilvl="2">
      <w:start w:val="1"/>
      <w:numFmt w:val="bullet"/>
      <w:lvlText w:val="▪"/>
      <w:lvlJc w:val="left"/>
      <w:pPr>
        <w:tabs>
          <w:tab w:pos="1080" w:val="num"/>
        </w:tabs>
        <w:ind w:hanging="360" w:left="1080"/>
      </w:pPr>
      <w:rPr>
        <w:rFonts w:ascii="OpenSymbol" w:cs="OpenSymbol" w:hAnsi="OpenSymbol" w:hint="default"/>
      </w:rPr>
    </w:lvl>
    <w:lvl w:ilvl="3">
      <w:start w:val="1"/>
      <w:numFmt w:val="bullet"/>
      <w:lvlText w:val=""/>
      <w:lvlJc w:val="left"/>
      <w:pPr>
        <w:tabs>
          <w:tab w:pos="1440" w:val="num"/>
        </w:tabs>
        <w:ind w:hanging="360" w:left="1440"/>
      </w:pPr>
      <w:rPr>
        <w:rFonts w:ascii="Symbol" w:cs="Symbol" w:hAnsi="Symbol" w:hint="default"/>
      </w:rPr>
    </w:lvl>
    <w:lvl w:ilvl="4">
      <w:start w:val="1"/>
      <w:numFmt w:val="bullet"/>
      <w:lvlText w:val="◦"/>
      <w:lvlJc w:val="left"/>
      <w:pPr>
        <w:tabs>
          <w:tab w:pos="1800" w:val="num"/>
        </w:tabs>
        <w:ind w:hanging="360" w:left="1800"/>
      </w:pPr>
      <w:rPr>
        <w:rFonts w:ascii="OpenSymbol" w:cs="OpenSymbol" w:hAnsi="OpenSymbol" w:hint="default"/>
      </w:rPr>
    </w:lvl>
    <w:lvl w:ilvl="5">
      <w:start w:val="1"/>
      <w:numFmt w:val="bullet"/>
      <w:lvlText w:val="▪"/>
      <w:lvlJc w:val="left"/>
      <w:pPr>
        <w:tabs>
          <w:tab w:pos="2160" w:val="num"/>
        </w:tabs>
        <w:ind w:hanging="360" w:left="2160"/>
      </w:pPr>
      <w:rPr>
        <w:rFonts w:ascii="OpenSymbol" w:cs="OpenSymbol" w:hAnsi="OpenSymbol" w:hint="default"/>
      </w:rPr>
    </w:lvl>
    <w:lvl w:ilvl="6">
      <w:start w:val="1"/>
      <w:numFmt w:val="bullet"/>
      <w:lvlText w:val=""/>
      <w:lvlJc w:val="left"/>
      <w:pPr>
        <w:tabs>
          <w:tab w:pos="2520" w:val="num"/>
        </w:tabs>
        <w:ind w:hanging="360" w:left="2520"/>
      </w:pPr>
      <w:rPr>
        <w:rFonts w:ascii="Symbol" w:cs="Symbol" w:hAnsi="Symbol" w:hint="default"/>
      </w:rPr>
    </w:lvl>
    <w:lvl w:ilvl="7">
      <w:start w:val="1"/>
      <w:numFmt w:val="bullet"/>
      <w:lvlText w:val="◦"/>
      <w:lvlJc w:val="left"/>
      <w:pPr>
        <w:tabs>
          <w:tab w:pos="2880" w:val="num"/>
        </w:tabs>
        <w:ind w:hanging="360" w:left="2880"/>
      </w:pPr>
      <w:rPr>
        <w:rFonts w:ascii="OpenSymbol" w:cs="OpenSymbol" w:hAnsi="OpenSymbol" w:hint="default"/>
      </w:rPr>
    </w:lvl>
    <w:lvl w:ilvl="8">
      <w:start w:val="1"/>
      <w:numFmt w:val="bullet"/>
      <w:lvlText w:val="▪"/>
      <w:lvlJc w:val="left"/>
      <w:pPr>
        <w:tabs>
          <w:tab w:pos="3240" w:val="num"/>
        </w:tabs>
        <w:ind w:hanging="360" w:left="3240"/>
      </w:pPr>
      <w:rPr>
        <w:rFonts w:ascii="OpenSymbol" w:cs="OpenSymbol" w:hAnsi="OpenSymbol" w:hint="default"/>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00"/>
  <w:evenAndOddHeaders/>
</w:settings>
</file>

<file path=word/styles.xml><?xml version="1.0" encoding="utf-8"?>
<w:styles xmlns:w="http://schemas.openxmlformats.org/wordprocessingml/2006/main">
  <w:style w:styleId="style0" w:type="paragraph">
    <w:name w:val="Standard"/>
    <w:next w:val="style0"/>
    <w:pPr>
      <w:widowControl w:val="false"/>
      <w:tabs/>
      <w:suppressAutoHyphens w:val="true"/>
      <w:overflowPunct w:val="false"/>
    </w:pPr>
    <w:rPr>
      <w:rFonts w:ascii="Arial" w:cs="Tahoma" w:eastAsia="Lucida Sans Unicode" w:hAnsi="Arial"/>
      <w:color w:val="00000A"/>
      <w:sz w:val="24"/>
      <w:szCs w:val="24"/>
      <w:lang w:bidi="hi-IN" w:eastAsia="zh-CN" w:val="en-US"/>
    </w:rPr>
  </w:style>
  <w:style w:styleId="style15" w:type="character">
    <w:name w:val="Internetlink"/>
    <w:next w:val="style15"/>
    <w:rPr>
      <w:color w:val="000080"/>
      <w:u w:val="single"/>
      <w:lang w:bidi="de-DE" w:eastAsia="de-DE" w:val="de-DE"/>
    </w:rPr>
  </w:style>
  <w:style w:styleId="style16" w:type="character">
    <w:name w:val="Aufzählungszeichen"/>
    <w:next w:val="style16"/>
    <w:rPr>
      <w:rFonts w:ascii="OpenSymbol" w:cs="OpenSymbol" w:eastAsia="OpenSymbol" w:hAnsi="OpenSymbol"/>
    </w:rPr>
  </w:style>
  <w:style w:styleId="style17" w:type="character">
    <w:name w:val="ListLabel 1"/>
    <w:next w:val="style17"/>
    <w:rPr>
      <w:rFonts w:cs="Symbol"/>
    </w:rPr>
  </w:style>
  <w:style w:styleId="style18" w:type="character">
    <w:name w:val="ListLabel 2"/>
    <w:next w:val="style18"/>
    <w:rPr>
      <w:rFonts w:cs="OpenSymbol"/>
    </w:rPr>
  </w:style>
  <w:style w:styleId="style19" w:type="paragraph">
    <w:name w:val="Überschrift"/>
    <w:basedOn w:val="style0"/>
    <w:next w:val="style20"/>
    <w:pPr>
      <w:keepNext/>
      <w:spacing w:after="120" w:before="240"/>
      <w:contextualSpacing w:val="false"/>
    </w:pPr>
    <w:rPr>
      <w:rFonts w:ascii="Arial" w:cs="Tahoma" w:eastAsia="Lucida Sans Unicode" w:hAnsi="Arial"/>
      <w:sz w:val="28"/>
      <w:szCs w:val="28"/>
    </w:rPr>
  </w:style>
  <w:style w:styleId="style20" w:type="paragraph">
    <w:name w:val="Textkörper"/>
    <w:basedOn w:val="style0"/>
    <w:next w:val="style20"/>
    <w:pPr>
      <w:spacing w:after="120" w:before="0"/>
      <w:contextualSpacing w:val="false"/>
    </w:pPr>
    <w:rPr/>
  </w:style>
  <w:style w:styleId="style21" w:type="paragraph">
    <w:name w:val="Liste"/>
    <w:basedOn w:val="style20"/>
    <w:next w:val="style21"/>
    <w:pPr/>
    <w:rPr>
      <w:rFonts w:ascii="Arial" w:cs="Tahoma" w:hAnsi="Arial"/>
    </w:rPr>
  </w:style>
  <w:style w:styleId="style22" w:type="paragraph">
    <w:name w:val="Beschriftung"/>
    <w:basedOn w:val="style0"/>
    <w:next w:val="style22"/>
    <w:pPr>
      <w:suppressLineNumbers/>
      <w:spacing w:after="120" w:before="120"/>
      <w:contextualSpacing w:val="false"/>
    </w:pPr>
    <w:rPr>
      <w:rFonts w:ascii="Arial" w:cs="Tahoma" w:hAnsi="Arial"/>
      <w:i/>
      <w:iCs/>
      <w:sz w:val="24"/>
      <w:szCs w:val="24"/>
    </w:rPr>
  </w:style>
  <w:style w:styleId="style23" w:type="paragraph">
    <w:name w:val="Verzeichnis"/>
    <w:basedOn w:val="style0"/>
    <w:next w:val="style23"/>
    <w:pPr>
      <w:suppressLineNumbers/>
    </w:pPr>
    <w:rPr>
      <w:rFonts w:ascii="Arial" w:cs="Tahoma" w:hAnsi="Arial"/>
    </w:rPr>
  </w:style>
  <w:style w:styleId="style24" w:type="paragraph">
    <w:name w:val="Kopfzeile"/>
    <w:basedOn w:val="style0"/>
    <w:next w:val="style24"/>
    <w:pPr>
      <w:suppressLineNumbers/>
      <w:tabs>
        <w:tab w:leader="none" w:pos="4819" w:val="center"/>
        <w:tab w:leader="none" w:pos="9638" w:val="right"/>
      </w:tabs>
    </w:pPr>
    <w:rPr/>
  </w:style>
  <w:style w:styleId="style25" w:type="paragraph">
    <w:name w:val="Fußzeile"/>
    <w:basedOn w:val="style0"/>
    <w:next w:val="style25"/>
    <w:pPr>
      <w:suppressLineNumbers/>
      <w:tabs>
        <w:tab w:leader="none" w:pos="4819" w:val="center"/>
        <w:tab w:leader="none" w:pos="9638" w:val="right"/>
      </w:tabs>
    </w:pPr>
    <w:rPr/>
  </w:style>
  <w:style w:styleId="style26" w:type="paragraph">
    <w:name w:val="Tabellen Inhalt"/>
    <w:basedOn w:val="style20"/>
    <w:next w:val="style26"/>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icoquant.com/_mic-course.htm" TargetMode="External"/><Relationship Id="rId3" Type="http://schemas.openxmlformats.org/officeDocument/2006/relationships/hyperlink" Target="mailto:trfcourse@picoquant.com" TargetMode="External"/><Relationship Id="rId4" Type="http://schemas.openxmlformats.org/officeDocument/2006/relationships/image" Target="media/image1.jpeg"/><Relationship Id="rId5" Type="http://schemas.openxmlformats.org/officeDocument/2006/relationships/hyperlink" Target="mailto:mkt@picoquant.com"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otalTime>29222</TotalTime>
  <Application>LibreOffice/3.6$Windows_x86 LibreOffice_project/f969faf-c24b504-8c77064-174276e-40b382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2011-11-09T13:57:29.00Z</dcterms:created>
  <dc:creator>Jana Rudolph</dc:creator>
  <cp:lastPrinted>2012-10-11T15:55:57.00Z</cp:lastPrinted>
  <dcterms:modified xsi:type="dcterms:W3CDTF">2013-10-15T11:25:15.00Z</dcterms:modified>
  <cp:revision>23</cp:revision>
</cp:coreProperties>
</file>